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88"/>
        <w:jc w:val="center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PROJEKT</w:t>
      </w:r>
    </w:p>
    <w:p>
      <w:pPr>
        <w:pStyle w:val="Normalny"/>
        <w:spacing w:lineRule="auto" w:line="288"/>
        <w:jc w:val="center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center"/>
        <w:rPr>
          <w:rFonts w:ascii="Helvetica Neue" w:hAnsi="Helvetica Neue" w:eastAsia="Helvetica Neue" w:cs="Helvetica Neue"/>
          <w:kern w:val="2"/>
          <w:sz w:val="24"/>
          <w:szCs w:val="24"/>
        </w:rPr>
      </w:pPr>
      <w:r>
        <w:rPr>
          <w:rFonts w:ascii="Helvetica Neue" w:hAnsi="Helvetica Neue"/>
          <w:kern w:val="2"/>
          <w:sz w:val="24"/>
          <w:szCs w:val="24"/>
        </w:rPr>
        <w:t>Uchwała nr (…)</w:t>
      </w:r>
      <w:r>
        <w:rPr>
          <w:rFonts w:eastAsia="Helvetica Neue" w:cs="Helvetica Neue" w:ascii="Helvetica Neue" w:hAnsi="Helvetica Neue"/>
          <w:kern w:val="2"/>
          <w:sz w:val="24"/>
          <w:szCs w:val="24"/>
        </w:rPr>
        <w:br/>
      </w:r>
      <w:r>
        <w:rPr>
          <w:rFonts w:ascii="Helvetica Neue" w:hAnsi="Helvetica Neue"/>
          <w:kern w:val="2"/>
          <w:sz w:val="24"/>
          <w:szCs w:val="24"/>
        </w:rPr>
        <w:t>Zgromadzenia Izby Adwokackiej w Lublinie</w:t>
      </w:r>
      <w:r>
        <w:rPr>
          <w:rFonts w:eastAsia="Helvetica Neue" w:cs="Helvetica Neue" w:ascii="Helvetica Neue" w:hAnsi="Helvetica Neue"/>
          <w:kern w:val="2"/>
          <w:sz w:val="24"/>
          <w:szCs w:val="24"/>
        </w:rPr>
        <w:br/>
      </w:r>
      <w:r>
        <w:rPr>
          <w:rFonts w:ascii="Helvetica Neue" w:hAnsi="Helvetica Neue"/>
          <w:kern w:val="2"/>
          <w:sz w:val="24"/>
          <w:szCs w:val="24"/>
        </w:rPr>
        <w:t>z dnia 28 maja 2022 roku</w:t>
      </w:r>
    </w:p>
    <w:p>
      <w:pPr>
        <w:pStyle w:val="Normalny"/>
        <w:spacing w:lineRule="auto" w:line="288"/>
        <w:jc w:val="center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w sprawie wysokości składek na rok 2022</w:t>
      </w:r>
    </w:p>
    <w:p>
      <w:pPr>
        <w:pStyle w:val="Normalny"/>
        <w:spacing w:lineRule="auto" w:line="288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>Zgromadzenie Izby Adwokackiej w Lublinie na podstawie art. 40 pkt 3  ustawy z dnia 26 maja 1982 r. Prawo o adwokaturze (Dz. U. z 2020 r. poz. 1651 ze zm.) postanawia: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1. ustalić wysokość rocznych składek na potrzeby Izby na rok 2022 w następującej wysokości: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a)</w:t>
        <w:tab/>
        <w:t>od adwokatów wykonujących zawód i prawników zagranicznych wpisanych na listę prowadzoną przez Okręgową Radę Adwokacką w kwocie 1.680 zł (słownie: jeden tysiąc sześćset osiemdziesiąt złotych) rocznie, płatnej w ratach po 140 zł. (słownie: sto czterdzieści złotych) miesięcznie,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b)</w:t>
        <w:tab/>
        <w:t xml:space="preserve">od adwokatów emerytów i rencistów wykonujących zawód </w:t>
      </w:r>
      <w:bookmarkStart w:id="0" w:name="_Hlk102728292"/>
      <w:r>
        <w:rPr>
          <w:rFonts w:ascii="Helvetica Neue" w:hAnsi="Helvetica Neue"/>
          <w:sz w:val="24"/>
          <w:szCs w:val="24"/>
        </w:rPr>
        <w:t xml:space="preserve">od miesiąca następującego po miesiącu w którym Okręgowa Rada Adwokacka została poinformowania o nabyciu prawa do emerytury lub renty </w:t>
      </w:r>
      <w:bookmarkEnd w:id="0"/>
      <w:r>
        <w:rPr>
          <w:rFonts w:ascii="Helvetica Neue" w:hAnsi="Helvetica Neue"/>
          <w:sz w:val="24"/>
          <w:szCs w:val="24"/>
        </w:rPr>
        <w:t>w kwocie 1.140 zł. (słownie: jeden tysiąc sto czterdzieści złotych) rocznie, płatnej w ratach po 95 zł. (słownie: dziewięćdziesiąt pięć złotych) miesięcznie,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c)</w:t>
        <w:tab/>
        <w:t>od adwokatów niewykonujących zawodu od miesiąca następującego po miesiącu wpisania na listę adwokatów niewykonujących zawodu w kwocie 720 zł. (słownie: siedemset dwadzieścia złotych) rocznie, płatnej w ratach po 60 zł. (słownie: sześćdziesiąt złotych) miesięcznie,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d)</w:t>
        <w:tab/>
        <w:t>od adwokatów wykonujących zawód radcy prawnego lub komornika  w kwocie 1.680 zł (słownie: jeden tysiąc sześćset osiemdziesiąt złotych) rocznie, płatnej w ratach po 140 zł. (słownie: sto czterdzieści złotych) miesięcznie,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e)</w:t>
        <w:tab/>
        <w:t>od aplikantów adwokackich do momentu uzyskania przez Okręgową Radę Adwokacką informacji o braku wniesienia sprzeciwu przez Ministra Sprawiedliwości od wpisu na listę adwokatów, lub skreślenia z listy aplikantów adwokackich w kwocie 240 zł. (słownie: dwieście czterdzieści złotych) rocznie, płatnej w ratach po 20 zł. (słownie: dwadzieścia złotych) miesięcznie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numPr>
          <w:ilvl w:val="0"/>
          <w:numId w:val="1"/>
        </w:numPr>
        <w:spacing w:lineRule="auto" w:line="288"/>
        <w:ind w:left="189" w:right="0" w:hanging="189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ustalając jednocześnie, że składki winny być uiszczane z góry w terminie do 10-go dnia każdego miesiąca, przy czym w przypadku opóźnienia w płatności naliczane są odsetki ustawowe za opóźnienie.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2. zwolnić z obowiązku uiszczania składki na potrzeby Izby: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a. adwokatów emerytów i rencistów niewykonujący zawodu od miesiąca następującego po miesiącu w którym Okręgowa Rada Adwokacka została poinformowana o zaprzestaniu wykonywania zawodu lub w przypadku figurowania na liście adwokatów niewykonujących zawodu o nabyciu prawa do emerytury lub renty oraz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b. adwokatki, w tym także niewykonujące zawodu, w okresie ciąży od pierwszego dnia miesiąca następującego po miesiącu, w którym przedstawiono zaświadczenie lekarskie o ciąży, oraz w okresie 6 miesięcy po urodzeniu dziecka.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II. </w:t>
        <w:tab/>
        <w:t>Zgromadzenie Izby Adwokackiej w Lublinie na podstawie art. 40 pkt 6 z dnia 26 maja 1982 r. Prawo o adwokaturze (Dz. U. z 2020 r. poz. 1651 ze zm.) uchwala budżet Izby Adwokackiej w Lublinie (stanowiący załącznik do niniejszej uchwały) obejmujący planowane przychody i wydatki w roku obrachunkowym 2022 zamykający się po stronie przychodów kwotą 1.948.880 zł. (słownie: jeden milion dziewięćset czterdzieści osiem tysięcy osiemset osiemdziesiąt złotych), zaś po stronie wydatków kwotą 1.916.762 zł. (słownie: jeden milion dziewięćset szesnaście tysięcy siedemset sześćdziesiąt dwa złote) i upoważnia Okręgową Radę Adwokacką w Lublinie do dokonywania – w razie uzasadnionej potrzeby- przesunięć środków pomiędzy poszczególnymi pozycjami zaplanowanych wydatków w budżecie Izby na rok 2022.</w:t>
      </w:r>
    </w:p>
    <w:p>
      <w:pPr>
        <w:pStyle w:val="Tre"/>
        <w:suppressAutoHyphens w:val="true"/>
        <w:bidi w:val="0"/>
        <w:spacing w:lineRule="auto" w:line="360"/>
        <w:ind w:left="0" w:right="0" w:hanging="0"/>
        <w:jc w:val="both"/>
        <w:rPr>
          <w:rFonts w:ascii="Times New Roman" w:hAnsi="Times New Roman" w:eastAsia="Times New Roman" w:cs="Times New Roman"/>
          <w:kern w:val="2"/>
          <w:sz w:val="24"/>
          <w:szCs w:val="24"/>
          <w:u w:val="none" w:color="000000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u w:val="none" w:color="000000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center"/>
        <w:rPr>
          <w:rFonts w:ascii="Helvetica Neue" w:hAnsi="Helvetica Neue" w:eastAsia="Helvetica Neue" w:cs="Helvetica Neue"/>
          <w:b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>UZASADNIENIE</w:t>
      </w:r>
    </w:p>
    <w:p>
      <w:pPr>
        <w:pStyle w:val="Normalny"/>
        <w:spacing w:lineRule="auto" w:line="288"/>
        <w:jc w:val="center"/>
        <w:rPr>
          <w:rFonts w:ascii="Helvetica Neue" w:hAnsi="Helvetica Neue" w:eastAsia="Helvetica Neue" w:cs="Helvetica Neue"/>
          <w:b/>
          <w:b/>
          <w:bCs/>
          <w:sz w:val="28"/>
          <w:szCs w:val="28"/>
        </w:rPr>
      </w:pPr>
      <w:r>
        <w:rPr>
          <w:rFonts w:eastAsia="Helvetica Neue" w:cs="Helvetica Neue" w:ascii="Helvetica Neue" w:hAnsi="Helvetica Neue"/>
          <w:b/>
          <w:bCs/>
          <w:sz w:val="28"/>
          <w:szCs w:val="28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agwek1"/>
        <w:keepNext w:val="false"/>
        <w:widowControl/>
        <w:suppressAutoHyphens w:val="false"/>
        <w:spacing w:lineRule="auto" w:line="288"/>
        <w:jc w:val="both"/>
        <w:outlineLvl w:val="9"/>
        <w:rPr>
          <w:rFonts w:ascii="Helvetica Neue" w:hAnsi="Helvetica Neue" w:eastAsia="Helvetica Neue" w:cs="Helvetica Neue"/>
          <w:i w:val="false"/>
          <w:i w:val="false"/>
          <w:iCs w:val="false"/>
          <w:kern w:val="2"/>
        </w:rPr>
      </w:pPr>
      <w:r>
        <w:rPr>
          <w:rFonts w:ascii="Helvetica Neue" w:hAnsi="Helvetica Neue"/>
          <w:i w:val="false"/>
          <w:iCs w:val="false"/>
        </w:rPr>
        <w:t>P</w:t>
      </w:r>
      <w:r>
        <w:rPr>
          <w:rFonts w:ascii="Helvetica Neue" w:hAnsi="Helvetica Neue"/>
          <w:i w:val="false"/>
          <w:iCs w:val="false"/>
          <w:kern w:val="2"/>
        </w:rPr>
        <w:t xml:space="preserve">roponowana wysokość składek zakłada pozostawienie ich wysokości na dotychczasowym poziomie </w:t>
      </w:r>
      <w:r>
        <w:rPr>
          <w:rFonts w:ascii="Helvetica Neue" w:hAnsi="Helvetica Neue"/>
          <w:b/>
          <w:bCs/>
          <w:i w:val="false"/>
          <w:iCs w:val="false"/>
          <w:kern w:val="2"/>
        </w:rPr>
        <w:t>we wszystkich grupach adwokatów</w:t>
      </w:r>
      <w:r>
        <w:rPr>
          <w:rFonts w:ascii="Helvetica Neue" w:hAnsi="Helvetica Neue"/>
          <w:i w:val="false"/>
          <w:iCs w:val="false"/>
          <w:kern w:val="2"/>
        </w:rPr>
        <w:t>.</w:t>
      </w:r>
    </w:p>
    <w:p>
      <w:pPr>
        <w:pStyle w:val="Nagwek1"/>
        <w:keepNext w:val="false"/>
        <w:widowControl/>
        <w:suppressAutoHyphens w:val="false"/>
        <w:spacing w:lineRule="auto" w:line="288"/>
        <w:jc w:val="both"/>
        <w:outlineLvl w:val="9"/>
        <w:rPr>
          <w:rFonts w:ascii="Helvetica Neue" w:hAnsi="Helvetica Neue" w:eastAsia="Helvetica Neue" w:cs="Helvetica Neue"/>
          <w:i w:val="false"/>
          <w:i w:val="false"/>
          <w:iCs w:val="false"/>
          <w:kern w:val="2"/>
        </w:rPr>
      </w:pPr>
      <w:r>
        <w:rPr>
          <w:rFonts w:eastAsia="Helvetica Neue" w:cs="Helvetica Neue" w:ascii="Helvetica Neue" w:hAnsi="Helvetica Neue"/>
          <w:i w:val="false"/>
          <w:iCs w:val="false"/>
          <w:kern w:val="2"/>
        </w:rPr>
      </w:r>
    </w:p>
    <w:p>
      <w:pPr>
        <w:pStyle w:val="Nagwek1"/>
        <w:keepNext w:val="false"/>
        <w:widowControl/>
        <w:suppressAutoHyphens w:val="false"/>
        <w:spacing w:lineRule="auto" w:line="288"/>
        <w:jc w:val="both"/>
        <w:outlineLvl w:val="9"/>
        <w:rPr>
          <w:rFonts w:ascii="Helvetica Neue" w:hAnsi="Helvetica Neue" w:eastAsia="Helvetica Neue" w:cs="Helvetica Neue"/>
          <w:i w:val="false"/>
          <w:i w:val="false"/>
          <w:iCs w:val="false"/>
          <w:kern w:val="2"/>
        </w:rPr>
      </w:pPr>
      <w:r>
        <w:rPr>
          <w:rFonts w:ascii="Helvetica Neue" w:hAnsi="Helvetica Neue"/>
          <w:i w:val="false"/>
          <w:iCs w:val="false"/>
          <w:kern w:val="2"/>
        </w:rPr>
        <w:t xml:space="preserve">Proponowana wysokość składek odzwierciedla możliwości finansowe Izby oraz fakt, </w:t>
      </w:r>
      <w:r>
        <w:rPr>
          <w:rFonts w:ascii="Helvetica Neue" w:hAnsi="Helvetica Neue"/>
          <w:i w:val="false"/>
          <w:iCs w:val="false"/>
        </w:rPr>
        <w:t xml:space="preserve">że liczba adwokatów wzrosła o 28, zaś od września wzrośnie o kolejnych 25. </w:t>
      </w:r>
      <w:r>
        <w:rPr>
          <w:rFonts w:ascii="Helvetica Neue" w:hAnsi="Helvetica Neue"/>
          <w:i w:val="false"/>
          <w:iCs w:val="false"/>
          <w:kern w:val="2"/>
        </w:rPr>
        <w:t xml:space="preserve">Liczba adwokatów wzrosła z 650 do 678 osób, co na wpływach ze składki daje w skali roku wzrost o 47 040 zł. Do tego dojdą składki od kolejnych nowych 25 adwokatów od miesiąca października 2022 r. w łącznej kwocie 15 750 zł. Stąd całkowity wzrost wpływów ze składek </w:t>
      </w:r>
      <w:r>
        <w:rPr>
          <w:rFonts w:ascii="Helvetica Neue" w:hAnsi="Helvetica Neue"/>
          <w:b/>
          <w:bCs/>
          <w:i w:val="false"/>
          <w:iCs w:val="false"/>
          <w:kern w:val="2"/>
        </w:rPr>
        <w:t xml:space="preserve">od nowych adwokatów w 2022 r. wyniesie blisko 63 000 zł. </w:t>
      </w:r>
    </w:p>
    <w:p>
      <w:pPr>
        <w:pStyle w:val="Nagwek1"/>
        <w:keepNext w:val="false"/>
        <w:widowControl/>
        <w:suppressAutoHyphens w:val="false"/>
        <w:spacing w:lineRule="auto" w:line="288"/>
        <w:jc w:val="both"/>
        <w:outlineLvl w:val="9"/>
        <w:rPr>
          <w:rFonts w:ascii="Helvetica Neue" w:hAnsi="Helvetica Neue" w:eastAsia="Helvetica Neue" w:cs="Helvetica Neue"/>
          <w:i w:val="false"/>
          <w:i w:val="false"/>
          <w:iCs w:val="false"/>
          <w:kern w:val="2"/>
        </w:rPr>
      </w:pPr>
      <w:r>
        <w:rPr>
          <w:rFonts w:eastAsia="Helvetica Neue" w:cs="Helvetica Neue" w:ascii="Helvetica Neue" w:hAnsi="Helvetica Neue"/>
          <w:i w:val="false"/>
          <w:iCs w:val="false"/>
          <w:kern w:val="2"/>
        </w:rPr>
      </w:r>
    </w:p>
    <w:p>
      <w:pPr>
        <w:pStyle w:val="Nagwek1"/>
        <w:keepNext w:val="false"/>
        <w:widowControl/>
        <w:suppressAutoHyphens w:val="false"/>
        <w:spacing w:lineRule="auto" w:line="288"/>
        <w:jc w:val="both"/>
        <w:outlineLvl w:val="9"/>
        <w:rPr>
          <w:rFonts w:ascii="Helvetica Neue" w:hAnsi="Helvetica Neue" w:eastAsia="Helvetica Neue" w:cs="Helvetica Neue"/>
          <w:i w:val="false"/>
          <w:i w:val="false"/>
          <w:iCs w:val="false"/>
          <w:kern w:val="2"/>
        </w:rPr>
      </w:pPr>
      <w:r>
        <w:rPr>
          <w:rFonts w:ascii="Helvetica Neue" w:hAnsi="Helvetica Neue"/>
          <w:i w:val="false"/>
          <w:iCs w:val="false"/>
          <w:kern w:val="2"/>
        </w:rPr>
        <w:t xml:space="preserve">W związku z tym podwyżka składki o 5 zł na rzecz Naczelnej Rady Adwokackiej od lipca 2022 r. została uwzględniona i środki na ten cel są w pełni zabezpieczone. Wzrost składki na rzecz NRA wynosi zaledwie 26 000 zł, co z nadwyżką zostanie pokryte m.in. ze składek nowych adwokatów (łącznie 63 000 zł.). Nadto faktycznie wzrost składki na rzecz NRA jest nieodczuwalny z innego powodu, a mianowicie składka na rzecz NRA w 2020 r. wynosiła 372 000 zł wobec aktualnej jej wysokości 315 000 zł. Nadal składka jest niższa niż 2 lata temu, więc nie ma racjonalnych powodów do podwyższania składki z tego tytułu. 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kern w:val="2"/>
          <w:sz w:val="24"/>
          <w:szCs w:val="24"/>
        </w:rPr>
      </w:pPr>
      <w:r>
        <w:rPr>
          <w:rFonts w:eastAsia="Helvetica Neue" w:cs="Helvetica Neue" w:ascii="Helvetica Neue" w:hAnsi="Helvetica Neue"/>
          <w:kern w:val="2"/>
          <w:sz w:val="24"/>
          <w:szCs w:val="24"/>
        </w:rPr>
      </w:r>
    </w:p>
    <w:p>
      <w:pPr>
        <w:pStyle w:val="Nagwek1"/>
        <w:keepNext w:val="false"/>
        <w:widowControl/>
        <w:suppressAutoHyphens w:val="false"/>
        <w:spacing w:lineRule="auto" w:line="288"/>
        <w:jc w:val="both"/>
        <w:outlineLvl w:val="9"/>
        <w:rPr>
          <w:rFonts w:ascii="Helvetica Neue" w:hAnsi="Helvetica Neue" w:eastAsia="Helvetica Neue" w:cs="Helvetica Neue"/>
          <w:i w:val="false"/>
          <w:i w:val="false"/>
          <w:iCs w:val="false"/>
        </w:rPr>
      </w:pPr>
      <w:r>
        <w:rPr>
          <w:rFonts w:ascii="Helvetica Neue" w:hAnsi="Helvetica Neue"/>
          <w:i w:val="false"/>
          <w:iCs w:val="false"/>
          <w:kern w:val="2"/>
        </w:rPr>
        <w:t xml:space="preserve">Realizacja preliminarza za 2021 r. pokazała, że nowo utworzona pozycja „Wpływy z zaległych składek” została pokryta z nawiązką. Wpływ wyniósł nie mniej niż 100 000 zł. Zaległości w składkach zmniejszyły się </w:t>
      </w:r>
      <w:r>
        <w:rPr>
          <w:rFonts w:ascii="Helvetica Neue" w:hAnsi="Helvetica Neue"/>
          <w:b/>
          <w:bCs/>
          <w:i w:val="false"/>
          <w:iCs w:val="false"/>
          <w:kern w:val="2"/>
        </w:rPr>
        <w:t>z 563 000 zł</w:t>
      </w:r>
      <w:r>
        <w:rPr>
          <w:rFonts w:ascii="Helvetica Neue" w:hAnsi="Helvetica Neue"/>
          <w:i w:val="false"/>
          <w:iCs w:val="false"/>
          <w:kern w:val="2"/>
        </w:rPr>
        <w:t xml:space="preserve"> (na dzień 19.03.2021 r.) </w:t>
      </w:r>
      <w:r>
        <w:rPr>
          <w:rFonts w:ascii="Helvetica Neue" w:hAnsi="Helvetica Neue"/>
          <w:b/>
          <w:bCs/>
          <w:i w:val="false"/>
          <w:iCs w:val="false"/>
          <w:kern w:val="2"/>
        </w:rPr>
        <w:t>do 212 000 zł</w:t>
      </w:r>
      <w:r>
        <w:rPr>
          <w:rFonts w:ascii="Helvetica Neue" w:hAnsi="Helvetica Neue"/>
          <w:i w:val="false"/>
          <w:iCs w:val="false"/>
          <w:kern w:val="2"/>
        </w:rPr>
        <w:t xml:space="preserve"> (na dzień 30.04.2022 r.). Oczywiście na zmniejszenie zaległości miało wpływ wiele umorzeń dokonanych przez ORA. Jednakże ta strata - wykazywana częściowo w </w:t>
      </w:r>
      <w:r>
        <w:rPr>
          <w:rFonts w:ascii="Helvetica Neue" w:hAnsi="Helvetica Neue"/>
          <w:i w:val="false"/>
          <w:iCs w:val="false"/>
        </w:rPr>
        <w:t xml:space="preserve">Rachunku zysków i strat - pozostaje bez wpływu na przepływy finansowe, które obrazuje budżet. Natomiast zgodnie ze sprawozdaniem Skarbnika łączna kwota zadłużenia członków naszej Izby na dzień 31.12.2021 r. wynosiła 213.278,91 zł. W związku z tym przez 4 miesiące zaległość jest utrzymywana nie niezmienionym poziomie, stąd istnieje duży potencjał do wpływu z tego tytułu. Dlatego założenie </w:t>
      </w:r>
      <w:r>
        <w:rPr>
          <w:rFonts w:ascii="Helvetica Neue" w:hAnsi="Helvetica Neue"/>
          <w:b/>
          <w:bCs/>
          <w:i w:val="false"/>
          <w:iCs w:val="false"/>
        </w:rPr>
        <w:t xml:space="preserve">wpływu z zaległych składek na poziomie zaledwie 70 000 zł (1/3 zaległości) </w:t>
      </w:r>
      <w:r>
        <w:rPr>
          <w:rFonts w:ascii="Helvetica Neue" w:hAnsi="Helvetica Neue"/>
          <w:i w:val="false"/>
          <w:iCs w:val="false"/>
        </w:rPr>
        <w:t xml:space="preserve">jest najbardziej racjonalne oraz utrzyma zapoczątkowaną w 2021 r. surową dyscyplinę finansów naszej Izby, zwłaszcza w zakresie bieżącego dbania o wpływy ze składek i egzekwowania Instrukcji zarządzania wierzytelnościami w zakresie składek zaległych. </w:t>
      </w:r>
    </w:p>
    <w:p>
      <w:pPr>
        <w:pStyle w:val="Nagwek1"/>
        <w:keepNext w:val="false"/>
        <w:widowControl/>
        <w:suppressAutoHyphens w:val="false"/>
        <w:spacing w:lineRule="auto" w:line="288"/>
        <w:jc w:val="both"/>
        <w:outlineLvl w:val="9"/>
        <w:rPr>
          <w:rFonts w:ascii="Helvetica Neue" w:hAnsi="Helvetica Neue" w:eastAsia="Helvetica Neue" w:cs="Helvetica Neue"/>
          <w:i w:val="false"/>
          <w:i w:val="false"/>
          <w:iCs w:val="false"/>
        </w:rPr>
      </w:pPr>
      <w:r>
        <w:rPr>
          <w:rFonts w:eastAsia="Helvetica Neue" w:cs="Helvetica Neue" w:ascii="Helvetica Neue" w:hAnsi="Helvetica Neue"/>
          <w:i w:val="false"/>
          <w:iCs w:val="false"/>
        </w:rPr>
      </w:r>
    </w:p>
    <w:p>
      <w:pPr>
        <w:pStyle w:val="Nagwek1"/>
        <w:keepNext w:val="false"/>
        <w:widowControl/>
        <w:suppressAutoHyphens w:val="false"/>
        <w:spacing w:lineRule="auto" w:line="288"/>
        <w:jc w:val="both"/>
        <w:outlineLvl w:val="9"/>
        <w:rPr>
          <w:rFonts w:ascii="Helvetica Neue" w:hAnsi="Helvetica Neue" w:eastAsia="Helvetica Neue" w:cs="Helvetica Neue"/>
          <w:i w:val="false"/>
          <w:i w:val="false"/>
          <w:iCs w:val="false"/>
        </w:rPr>
      </w:pPr>
      <w:r>
        <w:rPr>
          <w:rFonts w:ascii="Helvetica Neue" w:hAnsi="Helvetica Neue"/>
          <w:i w:val="false"/>
          <w:iCs w:val="false"/>
        </w:rPr>
        <w:t xml:space="preserve">Skarbnik w swoim sprawozdaniu skupia się i podkreśla wyłącznie stratę bilansową w wysokości -194.718,33 zł, a która wynika, nie tylko jak pisze Skarbnik z amortyzacji nowo zakupionych lokali użytkowych, ale także z umorzeń zaległych składek. Jest to jednak wyłącznie strata w dokumentach księgowych, a nie w gotówce. Podkreślenia natomiast wymaga, czego Skarbnik nie czyni, </w:t>
      </w:r>
      <w:r>
        <w:rPr>
          <w:rFonts w:ascii="Helvetica Neue" w:hAnsi="Helvetica Neue"/>
          <w:b/>
          <w:bCs/>
          <w:i w:val="false"/>
          <w:iCs w:val="false"/>
        </w:rPr>
        <w:t xml:space="preserve">ilość pieniędzy pozostałych w kasie po zakończeniu 2021 r. w wysokości ponad 134 000 zł. </w:t>
      </w:r>
      <w:r>
        <w:rPr>
          <w:rFonts w:ascii="Helvetica Neue" w:hAnsi="Helvetica Neue"/>
          <w:i w:val="false"/>
          <w:iCs w:val="false"/>
        </w:rPr>
        <w:t xml:space="preserve">Na posiedzeniu ORA z dnia 29 marca 2022 r wnioskowałem, aby przewidzieć w preliminarzu (budżecie) pozycje pt. Rezerwa budżetowa, a środki finansowe na tę rezerwę przeznaczać z zysku, czyli dodatniego wyniku za poprzedni rok. Dzięki temu wprost będzie również widać, na co został przeznaczony zysk z poprzedniego roku (str. 7 rozesłanego Państwu protokołu z 29.03.2022r.). Zamiast tego Skarbnik zaproponował uczynienie „poduszki” (rezerwy finansowej) z podwyższonej składki, co jawi się jako działanie na niekorzyść członów Izby. Skoro rezerwa finansowa jest i tak znacznie wyższa, to nie ma ekonomicznego uzasadnienia dla podwyższania składki. Ta nadwyżka w kwocie 134 000 zł, jest wydawana na realizację wydatków już w 2022 r. Jej pomijanie przez Skarbnika uniemożliwia Zgromadzeniu pełną weryfikację wszystkich wydatków Izbowych. Ale należy o tej kwocie pamiętać. Ma to o tyle istotne znaczenie, że </w:t>
      </w:r>
      <w:r>
        <w:rPr>
          <w:rFonts w:ascii="Helvetica Neue" w:hAnsi="Helvetica Neue"/>
          <w:b/>
          <w:bCs/>
          <w:i w:val="false"/>
          <w:iCs w:val="false"/>
        </w:rPr>
        <w:t>kwota ta (134 000 zł) stanowi również dodatkowe żródło finansowania wydatków Izby</w:t>
      </w:r>
      <w:r>
        <w:rPr>
          <w:rFonts w:ascii="Helvetica Neue" w:hAnsi="Helvetica Neue"/>
          <w:i w:val="false"/>
          <w:iCs w:val="false"/>
        </w:rPr>
        <w:t>. Jak przyznał Skarbnik na moje pytanie na posiedzeniu Rady w dniu 10 maja 2022 r. „Czy ta kwota może być rezerwą budżetową?” wskazał, że „kwota 134 000 zł znajduje się na rachunku bankowym” (str 11 protokołu ORA z 10 maja 2022r.). Podobnie na posiedzeniu Komisji Finansowej w dniu 23 maja 2022 r. , zwołanej w trybie pilnym na moje żądanie Pani księgowa na moje pytanie wskazała, że ta kwota ponad 134 000 zł, kt</w:t>
      </w:r>
      <w:r>
        <w:rPr>
          <w:rFonts w:ascii="Helvetica Neue" w:hAnsi="Helvetica Neue"/>
          <w:i w:val="false"/>
          <w:iCs w:val="false"/>
          <w:lang w:val="es-ES_tradnl"/>
        </w:rPr>
        <w:t>ó</w:t>
      </w:r>
      <w:r>
        <w:rPr>
          <w:rFonts w:ascii="Helvetica Neue" w:hAnsi="Helvetica Neue"/>
          <w:i w:val="false"/>
          <w:iCs w:val="false"/>
        </w:rPr>
        <w:t>ra pozostała za 2021 r. to fizyczne środki w kasie, kt</w:t>
      </w:r>
      <w:r>
        <w:rPr>
          <w:rFonts w:ascii="Helvetica Neue" w:hAnsi="Helvetica Neue"/>
          <w:i w:val="false"/>
          <w:iCs w:val="false"/>
          <w:lang w:val="es-ES_tradnl"/>
        </w:rPr>
        <w:t>ó</w:t>
      </w:r>
      <w:r>
        <w:rPr>
          <w:rFonts w:ascii="Helvetica Neue" w:hAnsi="Helvetica Neue"/>
          <w:i w:val="false"/>
          <w:iCs w:val="false"/>
        </w:rPr>
        <w:t>re były/są konsumowane już na wydatki w 2022 roku. Kwota ta zasila budżet i jest wykorzystywana między innymi do tzw. „rolowania” zaległości w składkach (o czym na pewno powie Skarbnik na Zgromadzeniu).</w:t>
      </w:r>
    </w:p>
    <w:p>
      <w:pPr>
        <w:pStyle w:val="Nagwek1"/>
        <w:keepNext w:val="false"/>
        <w:widowControl/>
        <w:suppressAutoHyphens w:val="false"/>
        <w:spacing w:lineRule="auto" w:line="288"/>
        <w:jc w:val="both"/>
        <w:outlineLvl w:val="9"/>
        <w:rPr>
          <w:rFonts w:ascii="Helvetica Neue" w:hAnsi="Helvetica Neue" w:eastAsia="Helvetica Neue" w:cs="Helvetica Neue"/>
          <w:i w:val="false"/>
          <w:i w:val="false"/>
          <w:iCs w:val="false"/>
        </w:rPr>
      </w:pPr>
      <w:r>
        <w:rPr>
          <w:rFonts w:eastAsia="Helvetica Neue" w:cs="Helvetica Neue" w:ascii="Helvetica Neue" w:hAnsi="Helvetica Neue"/>
          <w:i w:val="false"/>
          <w:iCs w:val="false"/>
        </w:rPr>
      </w:r>
    </w:p>
    <w:p>
      <w:pPr>
        <w:pStyle w:val="Nagwek1"/>
        <w:keepNext w:val="false"/>
        <w:widowControl/>
        <w:suppressAutoHyphens w:val="false"/>
        <w:spacing w:lineRule="auto" w:line="288"/>
        <w:jc w:val="both"/>
        <w:outlineLvl w:val="9"/>
        <w:rPr>
          <w:rFonts w:ascii="Helvetica Neue" w:hAnsi="Helvetica Neue" w:eastAsia="Helvetica Neue" w:cs="Helvetica Neue"/>
          <w:i w:val="false"/>
          <w:i w:val="false"/>
          <w:iCs w:val="false"/>
        </w:rPr>
      </w:pPr>
      <w:r>
        <w:rPr>
          <w:rFonts w:ascii="Helvetica Neue" w:hAnsi="Helvetica Neue"/>
          <w:i w:val="false"/>
          <w:iCs w:val="false"/>
        </w:rPr>
        <w:t>Ponadto w zaprojektowanym preliminarzu istnieje gigantyczna „poduszka” bezpieczeństwa w postaci kwoty blisko 200 000 zł, bo o tyle więcej Skarbnik zaprojektował wydatków na działaności statutowej względem roku 2021 r. Ani o złot</w:t>
      </w:r>
      <w:r>
        <w:rPr>
          <w:rFonts w:ascii="Helvetica Neue" w:hAnsi="Helvetica Neue"/>
          <w:i w:val="false"/>
          <w:iCs w:val="false"/>
          <w:lang w:val="es-ES_tradnl"/>
        </w:rPr>
        <w:t>ó</w:t>
      </w:r>
      <w:r>
        <w:rPr>
          <w:rFonts w:ascii="Helvetica Neue" w:hAnsi="Helvetica Neue"/>
          <w:i w:val="false"/>
          <w:iCs w:val="false"/>
        </w:rPr>
        <w:t xml:space="preserve">wkę nie umniejszyłem wydatków w załączonym do niniejszej uchwały preliminarzu. Każda z pozycji wydatkowych ma swoją własna „poduszkę” finansową. Rada w 2022 roku wyda około 25% więcej niż w roku 2021 r. A to w szczególności dzięki spłacie ostatnich rat kredytu, oraz wynajęcia pozostałych części lokali należących do Izby. Przypomnijmy, że przez ponad rok, a w niektórych przypadkach nawet 2 lata stały one nie wynajmowane. I to nie z przyczyn rynkowych. Wzrost wydatków związany jest z podwyżkami, których doświadczamy. Ta nadwyżka zabezpieczy rownież w całości wzrost wynagrodzeń pracowników Rady, a także umożliwił podwyższenie wynagrodzenia informatykowi, aby w końcu mógł skupić się na rzeczywistej obsłudze informatycznej i poprzez wdrożenie odpowiedniego systemu informatycznego dbać o bieżący wpływ ze składek. </w:t>
      </w:r>
    </w:p>
    <w:p>
      <w:pPr>
        <w:pStyle w:val="Nagwek1"/>
        <w:keepNext w:val="false"/>
        <w:widowControl/>
        <w:suppressAutoHyphens w:val="false"/>
        <w:spacing w:lineRule="auto" w:line="288"/>
        <w:jc w:val="both"/>
        <w:outlineLvl w:val="9"/>
        <w:rPr>
          <w:rFonts w:ascii="Helvetica Neue" w:hAnsi="Helvetica Neue" w:eastAsia="Helvetica Neue" w:cs="Helvetica Neue"/>
          <w:i w:val="false"/>
          <w:i w:val="false"/>
          <w:iCs w:val="false"/>
        </w:rPr>
      </w:pPr>
      <w:r>
        <w:rPr>
          <w:rFonts w:eastAsia="Helvetica Neue" w:cs="Helvetica Neue" w:ascii="Helvetica Neue" w:hAnsi="Helvetica Neue"/>
          <w:i w:val="false"/>
          <w:iCs w:val="false"/>
        </w:rPr>
      </w:r>
    </w:p>
    <w:p>
      <w:pPr>
        <w:pStyle w:val="Nagwek1"/>
        <w:keepNext w:val="false"/>
        <w:widowControl/>
        <w:suppressAutoHyphens w:val="false"/>
        <w:spacing w:lineRule="auto" w:line="288"/>
        <w:jc w:val="both"/>
        <w:outlineLvl w:val="9"/>
        <w:rPr>
          <w:rFonts w:ascii="Helvetica Neue" w:hAnsi="Helvetica Neue" w:eastAsia="Helvetica Neue" w:cs="Helvetica Neue"/>
          <w:i w:val="false"/>
          <w:i w:val="false"/>
          <w:iCs w:val="false"/>
          <w:kern w:val="2"/>
        </w:rPr>
      </w:pPr>
      <w:r>
        <w:rPr>
          <w:rFonts w:ascii="Helvetica Neue" w:hAnsi="Helvetica Neue"/>
          <w:i w:val="false"/>
          <w:iCs w:val="false"/>
        </w:rPr>
        <w:t>Te s</w:t>
      </w:r>
      <w:r>
        <w:rPr>
          <w:rFonts w:ascii="Helvetica Neue" w:hAnsi="Helvetica Neue"/>
          <w:i w:val="false"/>
          <w:iCs w:val="false"/>
          <w:kern w:val="2"/>
        </w:rPr>
        <w:t xml:space="preserve">płacone ostatecznie raty kredytu przysparzają Izbie </w:t>
      </w:r>
      <w:r>
        <w:rPr>
          <w:rFonts w:ascii="Helvetica Neue" w:hAnsi="Helvetica Neue"/>
          <w:b/>
          <w:bCs/>
          <w:i w:val="false"/>
          <w:iCs w:val="false"/>
          <w:kern w:val="2"/>
        </w:rPr>
        <w:t xml:space="preserve">dodatkowego wpływu w wysokości 131 000 zł. </w:t>
      </w:r>
      <w:r>
        <w:rPr>
          <w:rFonts w:ascii="Helvetica Neue" w:hAnsi="Helvetica Neue"/>
          <w:i w:val="false"/>
          <w:iCs w:val="false"/>
          <w:kern w:val="2"/>
        </w:rPr>
        <w:t xml:space="preserve">Nie ma już bowiem tego wydatku. O tej kwocie, rozpisanej aktualnie na szereg wydatków, należy pamiętać i dodatkowo rozliczać. </w:t>
      </w:r>
    </w:p>
    <w:p>
      <w:pPr>
        <w:pStyle w:val="Nagwek1"/>
        <w:keepNext w:val="false"/>
        <w:widowControl/>
        <w:suppressAutoHyphens w:val="false"/>
        <w:spacing w:lineRule="auto" w:line="288"/>
        <w:jc w:val="both"/>
        <w:outlineLvl w:val="9"/>
        <w:rPr>
          <w:rFonts w:ascii="Helvetica Neue" w:hAnsi="Helvetica Neue" w:eastAsia="Helvetica Neue" w:cs="Helvetica Neue"/>
          <w:b/>
          <w:b/>
          <w:bCs/>
          <w:i w:val="false"/>
          <w:i w:val="false"/>
          <w:iCs w:val="false"/>
          <w:kern w:val="2"/>
        </w:rPr>
      </w:pPr>
      <w:r>
        <w:rPr>
          <w:rFonts w:eastAsia="Helvetica Neue" w:cs="Helvetica Neue" w:ascii="Helvetica Neue" w:hAnsi="Helvetica Neue"/>
          <w:b/>
          <w:bCs/>
          <w:i w:val="false"/>
          <w:iCs w:val="false"/>
          <w:kern w:val="2"/>
        </w:rPr>
      </w:r>
    </w:p>
    <w:p>
      <w:pPr>
        <w:pStyle w:val="Nagwek1"/>
        <w:keepNext w:val="false"/>
        <w:widowControl/>
        <w:suppressAutoHyphens w:val="false"/>
        <w:spacing w:lineRule="auto" w:line="288"/>
        <w:jc w:val="both"/>
        <w:outlineLvl w:val="9"/>
        <w:rPr>
          <w:rFonts w:ascii="Helvetica Neue" w:hAnsi="Helvetica Neue" w:eastAsia="Helvetica Neue" w:cs="Helvetica Neue"/>
          <w:i w:val="false"/>
          <w:i w:val="false"/>
          <w:iCs w:val="false"/>
        </w:rPr>
      </w:pPr>
      <w:r>
        <w:rPr>
          <w:rFonts w:ascii="Helvetica Neue" w:hAnsi="Helvetica Neue"/>
          <w:i w:val="false"/>
          <w:iCs w:val="false"/>
        </w:rPr>
        <w:t xml:space="preserve">Wskazuję nadto, że emerytom i rencistom </w:t>
      </w:r>
      <w:r>
        <w:rPr>
          <w:rFonts w:ascii="Helvetica Neue" w:hAnsi="Helvetica Neue"/>
          <w:i w:val="false"/>
          <w:iCs w:val="false"/>
          <w:kern w:val="2"/>
        </w:rPr>
        <w:t xml:space="preserve">wykonującym zawód </w:t>
      </w:r>
      <w:r>
        <w:rPr>
          <w:rFonts w:ascii="Helvetica Neue" w:hAnsi="Helvetica Neue"/>
          <w:i w:val="false"/>
          <w:iCs w:val="false"/>
        </w:rPr>
        <w:t>należy się jak nikomu utrzymanie składki na dotychczasowym poziomie</w:t>
      </w:r>
      <w:r>
        <w:rPr>
          <w:rFonts w:ascii="Helvetica Neue" w:hAnsi="Helvetica Neue"/>
          <w:i w:val="false"/>
          <w:iCs w:val="false"/>
          <w:kern w:val="2"/>
        </w:rPr>
        <w:t xml:space="preserve"> - 95 zł. W ubiegłym roku zapomniałem o tej grupie naszych Kolegów i Koleżanek i składka nie została im obniżona, dlatego w tym roku na pewno powinna pozostać niezmieniona. 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kern w:val="2"/>
          <w:sz w:val="24"/>
          <w:szCs w:val="24"/>
        </w:rPr>
      </w:pPr>
      <w:r>
        <w:rPr>
          <w:rFonts w:eastAsia="Helvetica Neue" w:cs="Helvetica Neue" w:ascii="Helvetica Neue" w:hAnsi="Helvetica Neue"/>
          <w:kern w:val="2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kern w:val="2"/>
          <w:sz w:val="24"/>
          <w:szCs w:val="24"/>
        </w:rPr>
        <w:t xml:space="preserve">Końcowo przypomnieć należy, że zgodnie z § 28 ust. 1 </w:t>
      </w:r>
      <w:r>
        <w:rPr>
          <w:rFonts w:ascii="Helvetica Neue" w:hAnsi="Helvetica Neue"/>
          <w:sz w:val="24"/>
          <w:szCs w:val="24"/>
        </w:rPr>
        <w:t xml:space="preserve">Regulaminu organizacji i funkcjonowania okręgowych rad adwokackich Rada może dokonywać w trakcie roku budżetowego przesunięć pomiędzy poszczególnymi pozycjami budżetu zarówno po stronie planowanych wpływów (przychodów), jak i wydatków (kosztów) pod warunkiem zachowania równowagi budżetowej pomiędzy planowaną ogólną kwotą wpływów (przychodów) i wydatków (kosztów), które w wyniku przesunięć nie mogą być przekroczone. Rada z tego prawa korzysta. 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Podsumowując: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Izba dysponuje nowymi członkami, co przyniesie 63 000 zł. 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Izba uzyskała dodatni wynik finansowy ponad 134 000 zł (pieniądze w kasie po zakończeniu 2021 r.).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Izba nie spłaca już kredytu w kwocie ponad 131 000 zł.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Izba uzyskała nowy przychód z najmu w kwocie blisko 70 000 zł.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Już tylko te pozycje zwiększają przychód w sumie o </w:t>
      </w:r>
      <w:r>
        <w:rPr>
          <w:rFonts w:ascii="Helvetica Neue" w:hAnsi="Helvetica Neue"/>
          <w:b/>
          <w:bCs/>
          <w:sz w:val="24"/>
          <w:szCs w:val="24"/>
        </w:rPr>
        <w:t>398 000 zł.</w:t>
      </w:r>
      <w:r>
        <w:rPr>
          <w:rFonts w:ascii="Helvetica Neue" w:hAnsi="Helvetica Neue"/>
          <w:sz w:val="24"/>
          <w:szCs w:val="24"/>
        </w:rPr>
        <w:t xml:space="preserve"> O tyle Izba jest w lepszej sytuacji niż w 2021 r. Kwota ta stanowi dodatkowe źródło finansowania w 2022 r. O tyle Izba w 2022 r. wyda więcej.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Dodatkowo podkreślić należy, że Izba uzyskała wpływ z zaległych składek w kwocie nie mniejszej niż 100 000 zł. (pierwszy raz w historii Izby widać ten przepływ finansowy). 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Wskazuję również, że jako Izba mamy najprawdopodobniej najwięcej ze wszystkich Izb w Polsce powierzchni nieruchomości w przeliczeniu na członka. Czerpiemy z dorobku przeszłości. Dzięki temu możemy mieć niższą składkę, a część wydatków pokrywać z przychodów z najmu. Tym bardziej osoby starsze zasługują na niepodwyższanie im składki i czerpanie z korzyści z wypracowanego przez nich majątku dziś, dodatkowo w trudnych czasach. 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W uzasadnieniu uchwały składkowej za 2021 r. wskazałem we wnioskach: „[…] przy prawidłowym wykonaniu przez Radę wpływów i egzekwowaniu składek, już w tym momencie przewidywać należy dodatni wynik finansowy na poziomie minimum +150 000 zł. (poduszka finansowa).” Uzyskano dodatni wynik w kwocie ponad 134 000 zł. </w:t>
      </w:r>
    </w:p>
    <w:p>
      <w:pPr>
        <w:pStyle w:val="Normalny"/>
        <w:spacing w:lineRule="auto" w:line="288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Przedstawiona w załączeniu propozycja nowego preliminarza na 2022 rok ułatwi jeszcze lepsze zrozumienie dlaczego utrzymanie składki na dotychczasowym poziomie jest najbardziej racjonalne i ekonomicznie uzasadnione. </w:t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</w:r>
    </w:p>
    <w:p>
      <w:pPr>
        <w:pStyle w:val="Normalny"/>
        <w:spacing w:lineRule="auto" w:line="288"/>
        <w:jc w:val="both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Przy utrzymaniu składki na dotychczasowym poziomie nadal pozostaje dodatni wynik finansowy (to już kolejna „poduszka” finansowa).</w:t>
      </w:r>
    </w:p>
    <w:sectPr>
      <w:headerReference w:type="default" r:id="rId2"/>
      <w:footerReference w:type="default" r:id="rId3"/>
      <w:type w:val="nextPage"/>
      <w:pgSz w:w="11906" w:h="16838"/>
      <w:pgMar w:left="1701" w:right="1558" w:gutter="0" w:header="708" w:top="765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89" w:hanging="189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89" w:hanging="189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389" w:hanging="189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989" w:hanging="189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589" w:hanging="189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3189" w:hanging="189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3789" w:hanging="189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4389" w:hanging="189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4989" w:hanging="189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Nagwek1">
    <w:name w:val="Heading 1"/>
    <w:next w:val="Normalny"/>
    <w:qFormat/>
    <w:pPr>
      <w:keepNext w:val="tru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Times New Roman" w:hAnsi="Times New Roman" w:eastAsia="Arial Unicode MS" w:cs="Arial Unicode MS"/>
      <w:b w:val="false"/>
      <w:bCs w:val="false"/>
      <w:i/>
      <w:iCs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Czeinternetowe">
    <w:name w:val="Łącze internetowe"/>
    <w:rPr>
      <w:u w:val="single" w:color="FFFFF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re">
    <w:name w:val="Treść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qFormat/>
  </w:style>
  <w:style w:type="numbering" w:styleId="Punktory">
    <w:name w:val="Punktory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LibreOffice/7.3.3.2$MacOSX_X86_64 LibreOffice_project/d1d0ea68f081ee2800a922cac8f79445e4603348</Application>
  <AppVersion>15.0000</AppVersion>
  <Pages>5</Pages>
  <Words>1739</Words>
  <Characters>9984</Characters>
  <CharactersWithSpaces>11703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2022-05-27T16:40:14Z</dcterms:modified>
  <cp:revision>1</cp:revision>
  <dc:subject/>
  <dc:title/>
</cp:coreProperties>
</file>