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footer3.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b/>
          <w:bCs/>
        </w:rPr>
        <w:t>PROJEKT UCHWAŁY</w:t>
      </w:r>
    </w:p>
    <w:p>
      <w:pPr>
        <w:pStyle w:val="Normal"/>
        <w:jc w:val="center"/>
        <w:rPr>
          <w:b/>
          <w:b/>
          <w:bCs/>
        </w:rPr>
      </w:pPr>
      <w:r>
        <w:rPr>
          <w:b/>
          <w:bCs/>
        </w:rPr>
        <w:t>ZGROMADZENIA IZBY ADWOKACKIEJ W LUBLINIE</w:t>
      </w:r>
    </w:p>
    <w:p>
      <w:pPr>
        <w:pStyle w:val="Normal"/>
        <w:jc w:val="center"/>
        <w:rPr/>
      </w:pPr>
      <w:r>
        <w:rPr/>
        <w:t>z dnia 28 maja 2022 roku</w:t>
      </w:r>
    </w:p>
    <w:p>
      <w:pPr>
        <w:pStyle w:val="Normal"/>
        <w:jc w:val="center"/>
        <w:rPr/>
      </w:pPr>
      <w:r>
        <w:rPr/>
      </w:r>
    </w:p>
    <w:p>
      <w:pPr>
        <w:pStyle w:val="Normal"/>
        <w:jc w:val="both"/>
        <w:rPr/>
      </w:pPr>
      <w:r>
        <w:rPr/>
        <w:t>Zgromadzenie Izby Adwokackiej w Lublinie uchyla §1 ust.1 własnej uchwały nr 7 z dnia 22 maja 2021 roku. W pozostałym zakresie uchwała pozostaje w mocy.</w:t>
      </w:r>
    </w:p>
    <w:p>
      <w:pPr>
        <w:pStyle w:val="Normal"/>
        <w:jc w:val="both"/>
        <w:rPr/>
      </w:pPr>
      <w:r>
        <w:rPr/>
      </w:r>
    </w:p>
    <w:p>
      <w:pPr>
        <w:pStyle w:val="Normal"/>
        <w:jc w:val="center"/>
        <w:rPr>
          <w:b/>
          <w:b/>
          <w:bCs/>
        </w:rPr>
      </w:pPr>
      <w:r>
        <w:rPr>
          <w:b/>
          <w:bCs/>
        </w:rPr>
        <w:t>PROJEKT UCHWAŁY</w:t>
      </w:r>
    </w:p>
    <w:p>
      <w:pPr>
        <w:pStyle w:val="Normal"/>
        <w:jc w:val="center"/>
        <w:rPr>
          <w:b/>
          <w:b/>
          <w:bCs/>
        </w:rPr>
      </w:pPr>
      <w:r>
        <w:rPr>
          <w:b/>
          <w:bCs/>
        </w:rPr>
        <w:t>ZGROMADZENIA IZBY ADWOKACKIEJ W LUBLINIE</w:t>
      </w:r>
    </w:p>
    <w:p>
      <w:pPr>
        <w:pStyle w:val="Normal"/>
        <w:jc w:val="center"/>
        <w:rPr/>
      </w:pPr>
      <w:r>
        <w:rPr/>
        <w:t>z dnia 28 maja 2022 roku</w:t>
      </w:r>
    </w:p>
    <w:p>
      <w:pPr>
        <w:pStyle w:val="Normal"/>
        <w:jc w:val="center"/>
        <w:rPr/>
      </w:pPr>
      <w:r>
        <w:rPr/>
      </w:r>
    </w:p>
    <w:p>
      <w:pPr>
        <w:pStyle w:val="Normal"/>
        <w:jc w:val="both"/>
        <w:rPr/>
      </w:pPr>
      <w:r>
        <w:rPr/>
        <w:t>Zgromadzenie Izby Adwokackiej w Lublinie zmienia własną uchwałę nr 7 z dnia 22 maja 2021 roku w części dotyczącej §1 ust. 1 i ust.2 w ten sposób, że w miejsce zwrotu „członkom Izby Adwokackiej w Lublinie” wprowadza „adwokatom wykonującym zawód”.</w:t>
      </w:r>
    </w:p>
    <w:p>
      <w:pPr>
        <w:pStyle w:val="Normal"/>
        <w:jc w:val="both"/>
        <w:rPr/>
      </w:pPr>
      <w:r>
        <w:rPr/>
      </w:r>
    </w:p>
    <w:p>
      <w:pPr>
        <w:pStyle w:val="Normal"/>
        <w:jc w:val="both"/>
        <w:rPr/>
      </w:pPr>
      <w:r>
        <w:rPr/>
      </w:r>
    </w:p>
    <w:p>
      <w:pPr>
        <w:pStyle w:val="Normal"/>
        <w:jc w:val="center"/>
        <w:rPr/>
      </w:pPr>
      <w:r>
        <w:rPr/>
        <w:t>UZASADNIENIE OBU UCHWAŁ:</w:t>
      </w:r>
    </w:p>
    <w:p>
      <w:pPr>
        <w:pStyle w:val="Normal"/>
        <w:jc w:val="both"/>
        <w:rPr/>
      </w:pPr>
      <w:r>
        <w:rPr/>
        <w:t>Uchwała Zgromadzenia nr 7 z dnia 22 maja 2021 roku wprowadziła zobowiązanie ORA w Lublinie „</w:t>
      </w:r>
      <w:r>
        <w:rPr>
          <w:i/>
          <w:iCs/>
        </w:rPr>
        <w:t>do przekazywania drogą elektroniczną członkom Izby Adwokackiej w Lublinie listy przydzielonych z urzędu spraw cywilnych i administracyjnych</w:t>
      </w:r>
      <w:r>
        <w:rPr/>
        <w:t xml:space="preserve">”. Takie listy były w tym roku rozesłane do wszystkich członków Izby. Listy te liczyły ponad 2400 pozycji. Ich sporządzenie były wynikiem tytanicznej, ponad 3 tygodniowej, pracy dwóch pracownic biura ORA, Pani Anny Oleksińskiej oraz Aleksandry Kuźma, którym bardzo dziękuję za ten wysiłek. </w:t>
      </w:r>
    </w:p>
    <w:p>
      <w:pPr>
        <w:pStyle w:val="Normal"/>
        <w:jc w:val="both"/>
        <w:rPr/>
      </w:pPr>
      <w:r>
        <w:rPr/>
      </w:r>
    </w:p>
    <w:p>
      <w:pPr>
        <w:pStyle w:val="Normal"/>
        <w:jc w:val="both"/>
        <w:rPr/>
      </w:pPr>
      <w:r>
        <w:rPr/>
        <w:t xml:space="preserve">W wyniku rozesłania tych list otrzymaliśmy tylko jeden email ustosunkowujący się do danych w nich zawartych. Jeden z kolegów zwrócił uwagę, że jednemu z adwokatów przydzielono 36 urzędówek. W rozmowie telefonicznej uzyskał ode mnie informację, że żadna z tych 36 urzędówek nie została przydzielona przez biuro ORA według kolejności na liście, lecz są to sprawy, w których klient zwrócił się o wskazanie tego adwokata jako pełnomocnika z urzędu. Respektujemy takie życzenia klientów jak i informacje sądów, z których wynika, że klient w piśmie procesowym wskazał osobę, która miałaby pełnić funkcję pełnomocnika z urzędu. Jeżeli takiemu adwokatowi jest przydzielona sprawa z urzędu na mocy wskazania klienta nie przydzielamy już urzędówki według kolejności na liście. </w:t>
      </w:r>
    </w:p>
    <w:p>
      <w:pPr>
        <w:pStyle w:val="Normal"/>
        <w:jc w:val="both"/>
        <w:rPr/>
      </w:pPr>
      <w:r>
        <w:rPr/>
      </w:r>
    </w:p>
    <w:p>
      <w:pPr>
        <w:pStyle w:val="Normal"/>
        <w:jc w:val="both"/>
        <w:rPr/>
      </w:pPr>
      <w:r>
        <w:rPr/>
        <w:t xml:space="preserve">Więcej zastrzeżeń, które dotyczyłyby tych list nie otrzymaliśmy. </w:t>
      </w:r>
    </w:p>
    <w:p>
      <w:pPr>
        <w:pStyle w:val="Normal"/>
        <w:jc w:val="both"/>
        <w:rPr/>
      </w:pPr>
      <w:r>
        <w:rPr/>
      </w:r>
    </w:p>
    <w:p>
      <w:pPr>
        <w:pStyle w:val="Normal"/>
        <w:jc w:val="both"/>
        <w:rPr/>
      </w:pPr>
      <w:r>
        <w:rPr/>
        <w:t xml:space="preserve">Urzędówki są przydzielane według kolejności na liście. Każdy z Państwa może umówić się ze mną w ORA i zapoznać z listami. Zostaną Państwu udzielone wszelkie informacje. Tak było, gdy o spotkanie zwrócił się mec. Adam Bernau, zostały mu okazane listy, dekretacje oraz pisma z sądu. Tak będzie w przypadku każdego z Państwa.   </w:t>
      </w:r>
    </w:p>
    <w:p>
      <w:pPr>
        <w:pStyle w:val="Normal"/>
        <w:jc w:val="both"/>
        <w:rPr/>
      </w:pPr>
      <w:r>
        <w:rPr/>
      </w:r>
    </w:p>
    <w:p>
      <w:pPr>
        <w:pStyle w:val="Normal"/>
        <w:jc w:val="both"/>
        <w:rPr/>
      </w:pPr>
      <w:r>
        <w:rPr/>
        <w:t xml:space="preserve">Poddaję zatem pod Państwa rozwagę sens dalszego utrzymania obowiązywania uchwały, której realizacja stanowi istotne obciążenie dla pracy Biura ORA. Propozycja uchylenia uchwały nie dotyczy tej jej części, która zobowiązuje ORA do pozyskania i rozesłania informacji uzyskanych z sądów na temat urzędówek przydzielanych w sprawach karnych. Ta część uchwały pozostanie w mocy. </w:t>
      </w:r>
    </w:p>
    <w:p>
      <w:pPr>
        <w:pStyle w:val="Normal"/>
        <w:jc w:val="both"/>
        <w:rPr/>
      </w:pPr>
      <w:r>
        <w:rPr/>
      </w:r>
    </w:p>
    <w:p>
      <w:pPr>
        <w:pStyle w:val="Normal"/>
        <w:jc w:val="both"/>
        <w:rPr/>
      </w:pPr>
      <w:r>
        <w:rPr/>
      </w:r>
    </w:p>
    <w:p>
      <w:pPr>
        <w:pStyle w:val="Normal"/>
        <w:jc w:val="both"/>
        <w:rPr/>
      </w:pPr>
      <w:r>
        <w:rPr/>
        <w:t xml:space="preserve">O ile moja propozycja uchylenia uchwały w tej części nie spotka się z Państwa aprobatą proponuję dokonać zmiany uchwały. W aktualnym jej brzmieniu informacja powinna być rozsyłana do wszystkich „członków Izby” co oznacza, że powinna być przekazywana także aplikantom oraz adwokatom niewykonującym zawodu, co wydaje się rozwiązaniem nierozsądnym zważywszy na to, że informacja ta dotyczy wyłącznie interesów adwokatów, którzy czynnie wykonują zawód świadcząc pomoc z urzędu. </w:t>
      </w:r>
    </w:p>
    <w:p>
      <w:pPr>
        <w:pStyle w:val="Normal"/>
        <w:jc w:val="both"/>
        <w:rPr/>
      </w:pPr>
      <w:r>
        <w:rPr/>
      </w:r>
    </w:p>
    <w:p>
      <w:pPr>
        <w:pStyle w:val="Normal"/>
        <w:jc w:val="both"/>
        <w:rPr/>
      </w:pPr>
      <w:r>
        <w:rPr/>
        <w:t xml:space="preserve">Identyczna redakcja uchwały ma miejsce w §1 ust.2, który dotyczy pozyskania informacji z sądów i przekazywania „członkom Izby” informacji o urzędówkach karnych.   </w:t>
      </w:r>
    </w:p>
    <w:p>
      <w:pPr>
        <w:pStyle w:val="Normal"/>
        <w:jc w:val="both"/>
        <w:rPr/>
      </w:pPr>
      <w:r>
        <w:rPr/>
      </w:r>
    </w:p>
    <w:p>
      <w:pPr>
        <w:pStyle w:val="Normal"/>
        <w:jc w:val="both"/>
        <w:rPr/>
      </w:pPr>
      <w:r>
        <w:rPr/>
        <w:t xml:space="preserve">Projekt uchwały „pierwszej” jest dalej idącym niż „drugiej”. W przypadku przegłosowania uchwały „pierwszej” zbędne stanie się głosowanie nad przyjęciem uchwały „drugiej”. </w:t>
      </w:r>
    </w:p>
    <w:p>
      <w:pPr>
        <w:pStyle w:val="Normal"/>
        <w:jc w:val="both"/>
        <w:rPr/>
      </w:pPr>
      <w:r>
        <w:rPr/>
      </w:r>
    </w:p>
    <w:p>
      <w:pPr>
        <w:pStyle w:val="Normal"/>
        <w:jc w:val="both"/>
        <w:rPr/>
      </w:pPr>
      <w:r>
        <w:rPr/>
      </w:r>
    </w:p>
    <w:p>
      <w:pPr>
        <w:pStyle w:val="Normal"/>
        <w:jc w:val="both"/>
        <w:rPr/>
      </w:pPr>
      <w:r>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2912447"/>
    </w:sdtPr>
    <w:sdtContent>
      <w:p>
        <w:pPr>
          <w:pStyle w:val="Stopk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Stopka"/>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89449018"/>
    </w:sdtPr>
    <w:sdtContent>
      <w:p>
        <w:pPr>
          <w:pStyle w:val="Stopk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pPr>
      <w:pStyle w:val="Stopka"/>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72996623"/>
    </w:sdtPr>
    <w:sdtContent>
      <w:p>
        <w:pPr>
          <w:pStyle w:val="Stopka"/>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pPr>
      <w:pStyle w:val="Stopka"/>
      <w:ind w:right="360" w:hanging="0"/>
      <w:rPr/>
    </w:pPr>
    <w:r>
      <w:rPr/>
    </w:r>
  </w:p>
</w:ft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01ce"/>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pl-PL" w:eastAsia="en-US" w:bidi="ar-SA"/>
    </w:rPr>
  </w:style>
  <w:style w:type="character" w:styleId="DefaultParagraphFont" w:default="1">
    <w:name w:val="Default Paragraph Font"/>
    <w:uiPriority w:val="1"/>
    <w:semiHidden/>
    <w:unhideWhenUsed/>
    <w:qFormat/>
    <w:rPr/>
  </w:style>
  <w:style w:type="character" w:styleId="StopkaZnak" w:customStyle="1">
    <w:name w:val="Stopka Znak"/>
    <w:basedOn w:val="DefaultParagraphFont"/>
    <w:uiPriority w:val="99"/>
    <w:qFormat/>
    <w:rsid w:val="00bd004a"/>
    <w:rPr/>
  </w:style>
  <w:style w:type="character" w:styleId="Pagenumber">
    <w:name w:val="page number"/>
    <w:basedOn w:val="DefaultParagraphFont"/>
    <w:uiPriority w:val="99"/>
    <w:semiHidden/>
    <w:unhideWhenUsed/>
    <w:qFormat/>
    <w:rsid w:val="00bd004a"/>
    <w:rPr/>
  </w:style>
  <w:style w:type="paragraph" w:styleId="Nagwek">
    <w:name w:val="Nagłówek"/>
    <w:basedOn w:val="Normal"/>
    <w:next w:val="Tretekstu"/>
    <w:qFormat/>
    <w:pPr>
      <w:keepNext w:val="true"/>
      <w:spacing w:before="240" w:after="120"/>
    </w:pPr>
    <w:rPr>
      <w:rFonts w:ascii="Liberation Sans" w:hAnsi="Liberation Sans" w:eastAsia="PingFang SC"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Unicode MS"/>
    </w:rPr>
  </w:style>
  <w:style w:type="paragraph" w:styleId="Podpis">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lang w:val="zxx" w:eastAsia="zxx" w:bidi="zxx"/>
    </w:rPr>
  </w:style>
  <w:style w:type="paragraph" w:styleId="ListParagraph">
    <w:name w:val="List Paragraph"/>
    <w:basedOn w:val="Normal"/>
    <w:uiPriority w:val="34"/>
    <w:qFormat/>
    <w:rsid w:val="00587e14"/>
    <w:pPr>
      <w:spacing w:before="0" w:after="0"/>
      <w:ind w:left="720" w:hanging="0"/>
      <w:contextualSpacing/>
    </w:pPr>
    <w:rPr/>
  </w:style>
  <w:style w:type="paragraph" w:styleId="Gwkaistopka">
    <w:name w:val="Główka i stopka"/>
    <w:basedOn w:val="Normal"/>
    <w:qFormat/>
    <w:pPr/>
    <w:rPr/>
  </w:style>
  <w:style w:type="paragraph" w:styleId="Stopka">
    <w:name w:val="Footer"/>
    <w:basedOn w:val="Normal"/>
    <w:link w:val="StopkaZnak"/>
    <w:uiPriority w:val="99"/>
    <w:unhideWhenUsed/>
    <w:rsid w:val="00bd004a"/>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Application>LibreOffice/7.3.3.2$MacOSX_X86_64 LibreOffice_project/d1d0ea68f081ee2800a922cac8f79445e4603348</Application>
  <AppVersion>15.0000</AppVersion>
  <Pages>2</Pages>
  <Words>504</Words>
  <Characters>2945</Characters>
  <CharactersWithSpaces>3441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2022-05-16T07:35:00Z</dcterms:created>
  <dc:creator>Krzysztof Sokołowski</dc:creator>
  <dc:description/>
  <dc:language>pl-PL</dc:language>
  <cp:lastModifiedBy/>
  <dcterms:modified xsi:type="dcterms:W3CDTF">2022-05-27T16:45:29Z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