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C390E" w14:textId="44F30DFF" w:rsidR="0023328A" w:rsidRPr="00F27569" w:rsidRDefault="009E18EF" w:rsidP="00F27569">
      <w:pPr>
        <w:rPr>
          <w:rFonts w:asciiTheme="majorHAnsi" w:hAnsiTheme="majorHAnsi" w:cstheme="majorHAnsi"/>
          <w:b/>
          <w:bCs/>
        </w:rPr>
      </w:pPr>
      <w:r w:rsidRPr="00F27569">
        <w:rPr>
          <w:rFonts w:asciiTheme="majorHAnsi" w:hAnsiTheme="majorHAnsi" w:cstheme="majorHAnsi"/>
          <w:b/>
          <w:bCs/>
        </w:rPr>
        <w:t>KLAUZULA INFORMACYJNA</w:t>
      </w:r>
    </w:p>
    <w:p w14:paraId="59BCDF53" w14:textId="293AECE4" w:rsidR="00006469" w:rsidRPr="00006469" w:rsidRDefault="00F27569" w:rsidP="00DC6216">
      <w:pPr>
        <w:pStyle w:val="Akapitzlist"/>
        <w:numPr>
          <w:ilvl w:val="0"/>
          <w:numId w:val="4"/>
        </w:numPr>
        <w:jc w:val="both"/>
        <w:rPr>
          <w:rFonts w:asciiTheme="majorHAnsi" w:hAnsiTheme="majorHAnsi" w:cstheme="majorHAnsi"/>
          <w:b/>
          <w:bCs/>
        </w:rPr>
      </w:pPr>
      <w:r w:rsidRPr="00006469">
        <w:rPr>
          <w:rFonts w:asciiTheme="majorHAnsi" w:hAnsiTheme="majorHAnsi" w:cstheme="majorHAnsi"/>
        </w:rPr>
        <w:t xml:space="preserve">Administratorem Pani/Pana danych osobowych jest </w:t>
      </w:r>
      <w:r w:rsidR="00006469" w:rsidRPr="00006469">
        <w:rPr>
          <w:rFonts w:asciiTheme="majorHAnsi" w:hAnsiTheme="majorHAnsi" w:cstheme="majorHAnsi"/>
          <w:b/>
          <w:bCs/>
        </w:rPr>
        <w:t>Izb</w:t>
      </w:r>
      <w:r w:rsidR="00B05E7F">
        <w:rPr>
          <w:rFonts w:asciiTheme="majorHAnsi" w:hAnsiTheme="majorHAnsi" w:cstheme="majorHAnsi"/>
          <w:b/>
          <w:bCs/>
        </w:rPr>
        <w:t>a</w:t>
      </w:r>
      <w:r w:rsidR="00DC6216">
        <w:rPr>
          <w:rFonts w:asciiTheme="majorHAnsi" w:hAnsiTheme="majorHAnsi" w:cstheme="majorHAnsi"/>
          <w:b/>
          <w:bCs/>
        </w:rPr>
        <w:t xml:space="preserve"> </w:t>
      </w:r>
      <w:r w:rsidR="00006469" w:rsidRPr="00006469">
        <w:rPr>
          <w:rFonts w:asciiTheme="majorHAnsi" w:hAnsiTheme="majorHAnsi" w:cstheme="majorHAnsi"/>
          <w:b/>
          <w:bCs/>
        </w:rPr>
        <w:t>Adwokack</w:t>
      </w:r>
      <w:r w:rsidR="00B05E7F">
        <w:rPr>
          <w:rFonts w:asciiTheme="majorHAnsi" w:hAnsiTheme="majorHAnsi" w:cstheme="majorHAnsi"/>
          <w:b/>
          <w:bCs/>
        </w:rPr>
        <w:t>a</w:t>
      </w:r>
      <w:r w:rsidR="00006469" w:rsidRPr="00006469">
        <w:rPr>
          <w:rFonts w:asciiTheme="majorHAnsi" w:hAnsiTheme="majorHAnsi" w:cstheme="majorHAnsi"/>
          <w:b/>
          <w:bCs/>
        </w:rPr>
        <w:t xml:space="preserve"> w Lublinie, Aleje Racławickie 8, 20-037 Lublin. Kontakt sekretariat@ora.lublin.pl.</w:t>
      </w:r>
    </w:p>
    <w:p w14:paraId="28E730E9" w14:textId="1EB7E043" w:rsidR="00C32910" w:rsidRDefault="00DA6425" w:rsidP="00AB7912">
      <w:pPr>
        <w:pStyle w:val="Akapitzlist"/>
        <w:numPr>
          <w:ilvl w:val="0"/>
          <w:numId w:val="4"/>
        </w:numPr>
        <w:spacing w:after="0" w:line="312" w:lineRule="exact"/>
        <w:jc w:val="both"/>
        <w:rPr>
          <w:rFonts w:asciiTheme="majorHAnsi" w:hAnsiTheme="majorHAnsi" w:cstheme="majorHAnsi"/>
        </w:rPr>
      </w:pPr>
      <w:r w:rsidRPr="00DC6216">
        <w:rPr>
          <w:rFonts w:asciiTheme="majorHAnsi" w:hAnsiTheme="majorHAnsi" w:cstheme="majorHAnsi"/>
        </w:rPr>
        <w:t>Dane osobowe będą przetwarzane w celach</w:t>
      </w:r>
      <w:r w:rsidR="004E466A">
        <w:rPr>
          <w:rFonts w:asciiTheme="majorHAnsi" w:hAnsiTheme="majorHAnsi" w:cstheme="majorHAnsi"/>
        </w:rPr>
        <w:t>:</w:t>
      </w:r>
    </w:p>
    <w:p w14:paraId="16F89ECA" w14:textId="153804A8" w:rsidR="00C32910" w:rsidRDefault="00DC6216" w:rsidP="00AB7912">
      <w:pPr>
        <w:pStyle w:val="Akapitzlist"/>
        <w:numPr>
          <w:ilvl w:val="1"/>
          <w:numId w:val="4"/>
        </w:numPr>
        <w:jc w:val="both"/>
        <w:rPr>
          <w:rFonts w:asciiTheme="majorHAnsi" w:hAnsiTheme="majorHAnsi" w:cstheme="majorHAnsi"/>
        </w:rPr>
      </w:pPr>
      <w:r w:rsidRPr="00AB7912">
        <w:rPr>
          <w:rFonts w:asciiTheme="majorHAnsi" w:hAnsiTheme="majorHAnsi" w:cstheme="majorHAnsi"/>
        </w:rPr>
        <w:t xml:space="preserve">realizacji obowiązków wynikających z ustawy z dnia 26 maja 1982 r. Prawo o adwokaturze na podstawie art. 6 ust. 1, lit. </w:t>
      </w:r>
      <w:r w:rsidR="008C4368" w:rsidRPr="00AB7912">
        <w:rPr>
          <w:rFonts w:asciiTheme="majorHAnsi" w:hAnsiTheme="majorHAnsi" w:cstheme="majorHAnsi"/>
        </w:rPr>
        <w:t>c</w:t>
      </w:r>
      <w:r w:rsidRPr="00AB7912">
        <w:rPr>
          <w:rFonts w:asciiTheme="majorHAnsi" w:hAnsiTheme="majorHAnsi" w:cstheme="majorHAnsi"/>
        </w:rPr>
        <w:t xml:space="preserve"> (niezbędne do wypełnienia obowiązku prawnego ciążącego na administratorze</w:t>
      </w:r>
      <w:r w:rsidR="00F41A3B" w:rsidRPr="00AB7912">
        <w:rPr>
          <w:rFonts w:asciiTheme="majorHAnsi" w:hAnsiTheme="majorHAnsi" w:cstheme="majorHAnsi"/>
        </w:rPr>
        <w:t xml:space="preserve">) oraz na podstawie art. </w:t>
      </w:r>
      <w:r w:rsidRPr="00AB7912">
        <w:rPr>
          <w:rFonts w:asciiTheme="majorHAnsi" w:hAnsiTheme="majorHAnsi" w:cstheme="majorHAnsi"/>
        </w:rPr>
        <w:t xml:space="preserve">6 ust. 1 lit. </w:t>
      </w:r>
      <w:r w:rsidR="00F41A3B" w:rsidRPr="00AB7912">
        <w:rPr>
          <w:rFonts w:asciiTheme="majorHAnsi" w:hAnsiTheme="majorHAnsi" w:cstheme="majorHAnsi"/>
        </w:rPr>
        <w:t>e</w:t>
      </w:r>
      <w:r w:rsidRPr="00AB7912">
        <w:rPr>
          <w:rFonts w:asciiTheme="majorHAnsi" w:hAnsiTheme="majorHAnsi" w:cstheme="majorHAnsi"/>
        </w:rPr>
        <w:t xml:space="preserve"> (przetwarzanie jest niezbędne do wykonania zadania realizowanego w interesie publicznym lub w ramach</w:t>
      </w:r>
      <w:r w:rsidR="00F41A3B" w:rsidRPr="00AB7912">
        <w:rPr>
          <w:rFonts w:asciiTheme="majorHAnsi" w:hAnsiTheme="majorHAnsi" w:cstheme="majorHAnsi"/>
        </w:rPr>
        <w:t xml:space="preserve"> </w:t>
      </w:r>
      <w:r w:rsidRPr="00AB7912">
        <w:rPr>
          <w:rFonts w:asciiTheme="majorHAnsi" w:hAnsiTheme="majorHAnsi" w:cstheme="majorHAnsi"/>
        </w:rPr>
        <w:t>sprawowania władzy publicznej powierzonej administratorowi)</w:t>
      </w:r>
      <w:r w:rsidR="00AB7912" w:rsidRPr="00AB7912">
        <w:rPr>
          <w:rFonts w:asciiTheme="majorHAnsi" w:hAnsiTheme="majorHAnsi" w:cstheme="majorHAnsi"/>
        </w:rPr>
        <w:t>- Dane osobowe są przetwarzane przez okres wynikający z przepisów prawa tj. art. 16 c ustawy z dnia 26 maja 1982 r. Prawo o adwokaturze</w:t>
      </w:r>
      <w:r w:rsidR="00AB7912">
        <w:rPr>
          <w:rFonts w:asciiTheme="majorHAnsi" w:hAnsiTheme="majorHAnsi" w:cstheme="majorHAnsi"/>
        </w:rPr>
        <w:t>;</w:t>
      </w:r>
    </w:p>
    <w:p w14:paraId="21175F13" w14:textId="4149C6AB" w:rsidR="005A7722" w:rsidRDefault="005A7722" w:rsidP="005A7722">
      <w:pPr>
        <w:pStyle w:val="Akapitzlist"/>
        <w:numPr>
          <w:ilvl w:val="1"/>
          <w:numId w:val="4"/>
        </w:numPr>
        <w:jc w:val="both"/>
        <w:rPr>
          <w:rFonts w:asciiTheme="majorHAnsi" w:hAnsiTheme="majorHAnsi" w:cstheme="majorHAnsi"/>
        </w:rPr>
      </w:pPr>
      <w:r w:rsidRPr="005A7722">
        <w:rPr>
          <w:rFonts w:asciiTheme="majorHAnsi" w:hAnsiTheme="majorHAnsi" w:cstheme="majorHAnsi"/>
        </w:rPr>
        <w:t>w celu realizacji prawnie uzasadnionych interesów realizowanych przez</w:t>
      </w:r>
      <w:r>
        <w:rPr>
          <w:rFonts w:asciiTheme="majorHAnsi" w:hAnsiTheme="majorHAnsi" w:cstheme="majorHAnsi"/>
        </w:rPr>
        <w:t xml:space="preserve"> A</w:t>
      </w:r>
      <w:r w:rsidRPr="005A7722">
        <w:rPr>
          <w:rFonts w:asciiTheme="majorHAnsi" w:hAnsiTheme="majorHAnsi" w:cstheme="majorHAnsi"/>
        </w:rPr>
        <w:t>dministratora</w:t>
      </w:r>
      <w:r>
        <w:rPr>
          <w:rFonts w:asciiTheme="majorHAnsi" w:hAnsiTheme="majorHAnsi" w:cstheme="majorHAnsi"/>
        </w:rPr>
        <w:t xml:space="preserve"> – na podstawie </w:t>
      </w:r>
      <w:r w:rsidRPr="005A7722">
        <w:rPr>
          <w:rFonts w:asciiTheme="majorHAnsi" w:hAnsiTheme="majorHAnsi" w:cstheme="majorHAnsi"/>
        </w:rPr>
        <w:t>art. 6 ust. 1 lit f RODO</w:t>
      </w:r>
      <w:r>
        <w:rPr>
          <w:rFonts w:asciiTheme="majorHAnsi" w:hAnsiTheme="majorHAnsi" w:cstheme="majorHAnsi"/>
        </w:rPr>
        <w:t>;</w:t>
      </w:r>
    </w:p>
    <w:p w14:paraId="46576629" w14:textId="77DB0719" w:rsidR="005A7722" w:rsidRDefault="005A7722" w:rsidP="005A7722">
      <w:pPr>
        <w:pStyle w:val="Akapitzlist"/>
        <w:numPr>
          <w:ilvl w:val="1"/>
          <w:numId w:val="4"/>
        </w:numPr>
        <w:jc w:val="both"/>
        <w:rPr>
          <w:rFonts w:asciiTheme="majorHAnsi" w:hAnsiTheme="majorHAnsi" w:cstheme="majorHAnsi"/>
        </w:rPr>
      </w:pPr>
      <w:r w:rsidRPr="005A7722">
        <w:rPr>
          <w:rFonts w:asciiTheme="majorHAnsi" w:hAnsiTheme="majorHAnsi" w:cstheme="majorHAnsi"/>
        </w:rPr>
        <w:t>w wymagających tego przypadkach Administrator Danych ubiegał będzie się o wyrażenie Pani/Pana</w:t>
      </w:r>
      <w:r>
        <w:rPr>
          <w:rFonts w:asciiTheme="majorHAnsi" w:hAnsiTheme="majorHAnsi" w:cstheme="majorHAnsi"/>
        </w:rPr>
        <w:t xml:space="preserve"> </w:t>
      </w:r>
      <w:r w:rsidRPr="005A7722">
        <w:rPr>
          <w:rFonts w:asciiTheme="majorHAnsi" w:hAnsiTheme="majorHAnsi" w:cstheme="majorHAnsi"/>
        </w:rPr>
        <w:t>zgody na przetwarzanie danych osobowych w wyraźnie zadeklarowanym celu, z zastrzeżeniem</w:t>
      </w:r>
      <w:r>
        <w:rPr>
          <w:rFonts w:asciiTheme="majorHAnsi" w:hAnsiTheme="majorHAnsi" w:cstheme="majorHAnsi"/>
        </w:rPr>
        <w:t xml:space="preserve"> </w:t>
      </w:r>
      <w:r w:rsidRPr="005A7722">
        <w:rPr>
          <w:rFonts w:asciiTheme="majorHAnsi" w:hAnsiTheme="majorHAnsi" w:cstheme="majorHAnsi"/>
        </w:rPr>
        <w:t>możliwości łatwego odwołania zgody przez osobę, która ją uprzednio wyraziła (art. 6 ust. 1 lit. a RODO).</w:t>
      </w:r>
    </w:p>
    <w:p w14:paraId="02B0C4E0" w14:textId="77777777" w:rsidR="004E466A" w:rsidRDefault="005A7722" w:rsidP="004E466A">
      <w:pPr>
        <w:pStyle w:val="Akapitzlist"/>
        <w:numPr>
          <w:ilvl w:val="0"/>
          <w:numId w:val="4"/>
        </w:numPr>
        <w:spacing w:after="0" w:line="312" w:lineRule="exact"/>
        <w:jc w:val="both"/>
        <w:rPr>
          <w:rFonts w:asciiTheme="majorHAnsi" w:hAnsiTheme="majorHAnsi" w:cstheme="majorHAnsi"/>
        </w:rPr>
      </w:pPr>
      <w:r w:rsidRPr="004E466A">
        <w:rPr>
          <w:rFonts w:asciiTheme="majorHAnsi" w:hAnsiTheme="majorHAnsi" w:cstheme="majorHAnsi"/>
        </w:rPr>
        <w:t xml:space="preserve">Pani/Pana dane osobowe będą przetwarzane przez </w:t>
      </w:r>
      <w:r w:rsidR="004E466A" w:rsidRPr="004E466A">
        <w:rPr>
          <w:rFonts w:asciiTheme="majorHAnsi" w:hAnsiTheme="majorHAnsi" w:cstheme="majorHAnsi"/>
        </w:rPr>
        <w:t>15 lat od końca roku, w którym zakończyło się postępowanie, w którym dane osobowe zostały zgromadzone - w przypadku danych osobowych przetwarzanych w toku prowadzonych przez organy adwokatury oraz organy izb adwokackich postępowań dyscyplinarnych wobec adwokatów i aplikantów adwokackich oraz podczas wykonywania kompetencji nadzorczych nad postępowaniami dyscyplinarnymi w sprawach adwokatów i aplikantów adwokackich.</w:t>
      </w:r>
    </w:p>
    <w:p w14:paraId="61B7550C" w14:textId="08CD2BCA" w:rsidR="004E466A" w:rsidRDefault="004E466A" w:rsidP="004E466A">
      <w:pPr>
        <w:pStyle w:val="Akapitzlist"/>
        <w:numPr>
          <w:ilvl w:val="0"/>
          <w:numId w:val="4"/>
        </w:numPr>
        <w:spacing w:after="0" w:line="312" w:lineRule="exact"/>
        <w:jc w:val="both"/>
        <w:rPr>
          <w:rFonts w:asciiTheme="majorHAnsi" w:hAnsiTheme="majorHAnsi" w:cstheme="majorHAnsi"/>
        </w:rPr>
      </w:pPr>
      <w:r w:rsidRPr="004E466A">
        <w:rPr>
          <w:rFonts w:asciiTheme="majorHAnsi" w:hAnsiTheme="majorHAnsi" w:cstheme="majorHAnsi"/>
        </w:rPr>
        <w:t>Pani/Pana dane zostały pozyskane bezpośrednio od Pani/Pana w zakresie treści składanych pism i wyjaśnień. Źródłem pośrednim danych dla czynności podejmowanych w ramach postępowań dyscyplinarnych mogą być strony postępowania, skarżący, Minister Sprawiedliwości, sądy i prokuratura, pracodawcy, świadkowie, biegli lub pełnomocnicy uczestników postępowania. Dane są zawarte w składanych przez te osoby lub organy dokumentach i wyjaśnieniach.</w:t>
      </w:r>
    </w:p>
    <w:p w14:paraId="42159A1B" w14:textId="0B8542F1" w:rsidR="009425B3" w:rsidRDefault="009425B3" w:rsidP="004E466A">
      <w:pPr>
        <w:pStyle w:val="Akapitzlist"/>
        <w:numPr>
          <w:ilvl w:val="0"/>
          <w:numId w:val="4"/>
        </w:numPr>
        <w:spacing w:after="0" w:line="312" w:lineRule="exact"/>
        <w:jc w:val="both"/>
        <w:rPr>
          <w:rFonts w:asciiTheme="majorHAnsi" w:hAnsiTheme="majorHAnsi" w:cstheme="majorHAnsi"/>
        </w:rPr>
      </w:pPr>
      <w:r w:rsidRPr="009425B3">
        <w:rPr>
          <w:rFonts w:asciiTheme="majorHAnsi" w:hAnsiTheme="majorHAnsi" w:cstheme="majorHAnsi"/>
        </w:rPr>
        <w:t xml:space="preserve">Przetwarzanie </w:t>
      </w:r>
      <w:r>
        <w:rPr>
          <w:rFonts w:asciiTheme="majorHAnsi" w:hAnsiTheme="majorHAnsi" w:cstheme="majorHAnsi"/>
        </w:rPr>
        <w:t>Pani/Pana</w:t>
      </w:r>
      <w:r w:rsidRPr="009425B3">
        <w:rPr>
          <w:rFonts w:asciiTheme="majorHAnsi" w:hAnsiTheme="majorHAnsi" w:cstheme="majorHAnsi"/>
        </w:rPr>
        <w:t xml:space="preserve"> danych osobowych jest obowiązkowe i wynika z obowiązujących</w:t>
      </w:r>
      <w:r>
        <w:rPr>
          <w:rFonts w:asciiTheme="majorHAnsi" w:hAnsiTheme="majorHAnsi" w:cstheme="majorHAnsi"/>
        </w:rPr>
        <w:t xml:space="preserve"> </w:t>
      </w:r>
      <w:r w:rsidRPr="009425B3">
        <w:rPr>
          <w:rFonts w:asciiTheme="majorHAnsi" w:hAnsiTheme="majorHAnsi" w:cstheme="majorHAnsi"/>
        </w:rPr>
        <w:t>przepisów w ramach prowadzonych postępowań dyscyplinarnych</w:t>
      </w:r>
      <w:r>
        <w:rPr>
          <w:rFonts w:asciiTheme="majorHAnsi" w:hAnsiTheme="majorHAnsi" w:cstheme="majorHAnsi"/>
        </w:rPr>
        <w:t>;</w:t>
      </w:r>
    </w:p>
    <w:p w14:paraId="45B36E27" w14:textId="4FDCB923" w:rsidR="009E23E7" w:rsidRPr="004E466A" w:rsidRDefault="009E23E7" w:rsidP="004E466A">
      <w:pPr>
        <w:pStyle w:val="Akapitzlist"/>
        <w:numPr>
          <w:ilvl w:val="0"/>
          <w:numId w:val="4"/>
        </w:numPr>
        <w:spacing w:after="0" w:line="312" w:lineRule="exact"/>
        <w:jc w:val="both"/>
        <w:rPr>
          <w:rFonts w:asciiTheme="majorHAnsi" w:hAnsiTheme="majorHAnsi" w:cstheme="majorHAnsi"/>
        </w:rPr>
      </w:pPr>
      <w:r w:rsidRPr="004E466A">
        <w:rPr>
          <w:rFonts w:asciiTheme="majorHAnsi" w:hAnsiTheme="majorHAnsi" w:cstheme="majorHAnsi"/>
        </w:rPr>
        <w:t xml:space="preserve">Odbiorcami </w:t>
      </w:r>
      <w:r w:rsidR="00DA6425" w:rsidRPr="004E466A">
        <w:rPr>
          <w:rFonts w:asciiTheme="majorHAnsi" w:hAnsiTheme="majorHAnsi" w:cstheme="majorHAnsi"/>
        </w:rPr>
        <w:t>Pani/Pana danych osobowych będą</w:t>
      </w:r>
      <w:r w:rsidRPr="004E466A">
        <w:rPr>
          <w:rFonts w:asciiTheme="majorHAnsi" w:hAnsiTheme="majorHAnsi" w:cstheme="majorHAnsi"/>
        </w:rPr>
        <w:t>:</w:t>
      </w:r>
    </w:p>
    <w:p w14:paraId="6069A9EB" w14:textId="77777777" w:rsidR="00AB7912" w:rsidRDefault="00AB7912" w:rsidP="00AB7912">
      <w:pPr>
        <w:pStyle w:val="Akapitzlist"/>
        <w:numPr>
          <w:ilvl w:val="1"/>
          <w:numId w:val="4"/>
        </w:numPr>
        <w:spacing w:after="0" w:line="312" w:lineRule="exact"/>
        <w:jc w:val="both"/>
        <w:rPr>
          <w:rFonts w:asciiTheme="majorHAnsi" w:hAnsiTheme="majorHAnsi" w:cstheme="majorHAnsi"/>
        </w:rPr>
      </w:pPr>
      <w:r w:rsidRPr="00AB7912">
        <w:rPr>
          <w:rFonts w:asciiTheme="majorHAnsi" w:hAnsiTheme="majorHAnsi" w:cstheme="majorHAnsi"/>
        </w:rPr>
        <w:t>podmiot</w:t>
      </w:r>
      <w:r>
        <w:rPr>
          <w:rFonts w:asciiTheme="majorHAnsi" w:hAnsiTheme="majorHAnsi" w:cstheme="majorHAnsi"/>
        </w:rPr>
        <w:t>y</w:t>
      </w:r>
      <w:r w:rsidRPr="00AB7912">
        <w:rPr>
          <w:rFonts w:asciiTheme="majorHAnsi" w:hAnsiTheme="majorHAnsi" w:cstheme="majorHAnsi"/>
        </w:rPr>
        <w:t xml:space="preserve"> zapewniając</w:t>
      </w:r>
      <w:r>
        <w:rPr>
          <w:rFonts w:asciiTheme="majorHAnsi" w:hAnsiTheme="majorHAnsi" w:cstheme="majorHAnsi"/>
        </w:rPr>
        <w:t>e</w:t>
      </w:r>
      <w:r w:rsidRPr="00AB7912">
        <w:rPr>
          <w:rFonts w:asciiTheme="majorHAnsi" w:hAnsiTheme="majorHAnsi" w:cstheme="majorHAnsi"/>
        </w:rPr>
        <w:t xml:space="preserve"> hosting strony internetowej;</w:t>
      </w:r>
    </w:p>
    <w:p w14:paraId="2462A77A" w14:textId="77777777" w:rsidR="00AB7912" w:rsidRDefault="00AB7912" w:rsidP="00AB7912">
      <w:pPr>
        <w:pStyle w:val="Akapitzlist"/>
        <w:numPr>
          <w:ilvl w:val="1"/>
          <w:numId w:val="4"/>
        </w:numPr>
        <w:spacing w:after="0" w:line="312" w:lineRule="exact"/>
        <w:jc w:val="both"/>
        <w:rPr>
          <w:rFonts w:asciiTheme="majorHAnsi" w:hAnsiTheme="majorHAnsi" w:cstheme="majorHAnsi"/>
        </w:rPr>
      </w:pPr>
      <w:r w:rsidRPr="00AB7912">
        <w:rPr>
          <w:rFonts w:asciiTheme="majorHAnsi" w:hAnsiTheme="majorHAnsi" w:cstheme="majorHAnsi"/>
        </w:rPr>
        <w:t>firm</w:t>
      </w:r>
      <w:r>
        <w:rPr>
          <w:rFonts w:asciiTheme="majorHAnsi" w:hAnsiTheme="majorHAnsi" w:cstheme="majorHAnsi"/>
        </w:rPr>
        <w:t>y</w:t>
      </w:r>
      <w:r w:rsidRPr="00AB7912">
        <w:rPr>
          <w:rFonts w:asciiTheme="majorHAnsi" w:hAnsiTheme="majorHAnsi" w:cstheme="majorHAnsi"/>
        </w:rPr>
        <w:t xml:space="preserve"> zapewniając</w:t>
      </w:r>
      <w:r>
        <w:rPr>
          <w:rFonts w:asciiTheme="majorHAnsi" w:hAnsiTheme="majorHAnsi" w:cstheme="majorHAnsi"/>
        </w:rPr>
        <w:t>e</w:t>
      </w:r>
      <w:r w:rsidRPr="00AB7912">
        <w:rPr>
          <w:rFonts w:asciiTheme="majorHAnsi" w:hAnsiTheme="majorHAnsi" w:cstheme="majorHAnsi"/>
        </w:rPr>
        <w:t xml:space="preserve"> wsparcie i zarządzanie infrastruktury IT;</w:t>
      </w:r>
    </w:p>
    <w:p w14:paraId="09DDE041" w14:textId="77777777" w:rsidR="00AB7912" w:rsidRDefault="00AB7912" w:rsidP="00AB7912">
      <w:pPr>
        <w:pStyle w:val="Akapitzlist"/>
        <w:numPr>
          <w:ilvl w:val="1"/>
          <w:numId w:val="4"/>
        </w:numPr>
        <w:spacing w:after="0" w:line="312" w:lineRule="exact"/>
        <w:jc w:val="both"/>
        <w:rPr>
          <w:rFonts w:asciiTheme="majorHAnsi" w:hAnsiTheme="majorHAnsi" w:cstheme="majorHAnsi"/>
        </w:rPr>
      </w:pPr>
      <w:r w:rsidRPr="00AB7912">
        <w:rPr>
          <w:rFonts w:asciiTheme="majorHAnsi" w:hAnsiTheme="majorHAnsi" w:cstheme="majorHAnsi"/>
        </w:rPr>
        <w:t>firm</w:t>
      </w:r>
      <w:r>
        <w:rPr>
          <w:rFonts w:asciiTheme="majorHAnsi" w:hAnsiTheme="majorHAnsi" w:cstheme="majorHAnsi"/>
        </w:rPr>
        <w:t>y</w:t>
      </w:r>
      <w:r w:rsidRPr="00AB7912">
        <w:rPr>
          <w:rFonts w:asciiTheme="majorHAnsi" w:hAnsiTheme="majorHAnsi" w:cstheme="majorHAnsi"/>
        </w:rPr>
        <w:t xml:space="preserve"> doradcz</w:t>
      </w:r>
      <w:r>
        <w:rPr>
          <w:rFonts w:asciiTheme="majorHAnsi" w:hAnsiTheme="majorHAnsi" w:cstheme="majorHAnsi"/>
        </w:rPr>
        <w:t>e</w:t>
      </w:r>
      <w:r w:rsidRPr="00AB7912">
        <w:rPr>
          <w:rFonts w:asciiTheme="majorHAnsi" w:hAnsiTheme="majorHAnsi" w:cstheme="majorHAnsi"/>
        </w:rPr>
        <w:t xml:space="preserve"> z zakresu ochrony danych osobowych;</w:t>
      </w:r>
    </w:p>
    <w:p w14:paraId="32D79FBF" w14:textId="5AC0EB39" w:rsidR="00AB7912" w:rsidRPr="00AB7912" w:rsidRDefault="00AB7912" w:rsidP="00AB7912">
      <w:pPr>
        <w:pStyle w:val="Akapitzlist"/>
        <w:numPr>
          <w:ilvl w:val="1"/>
          <w:numId w:val="4"/>
        </w:numPr>
        <w:spacing w:after="0" w:line="312" w:lineRule="exact"/>
        <w:jc w:val="both"/>
        <w:rPr>
          <w:rFonts w:asciiTheme="majorHAnsi" w:hAnsiTheme="majorHAnsi" w:cstheme="majorHAnsi"/>
        </w:rPr>
      </w:pPr>
      <w:r w:rsidRPr="00AB7912">
        <w:rPr>
          <w:rFonts w:asciiTheme="majorHAnsi" w:hAnsiTheme="majorHAnsi" w:cstheme="majorHAnsi"/>
        </w:rPr>
        <w:t xml:space="preserve">na podstawie właściwego przepisu prawa lub decyzji właściwego organu </w:t>
      </w:r>
      <w:r>
        <w:rPr>
          <w:rFonts w:asciiTheme="majorHAnsi" w:hAnsiTheme="majorHAnsi" w:cstheme="majorHAnsi"/>
        </w:rPr>
        <w:t>-</w:t>
      </w:r>
      <w:r w:rsidRPr="00AB7912">
        <w:rPr>
          <w:rFonts w:asciiTheme="majorHAnsi" w:hAnsiTheme="majorHAnsi" w:cstheme="majorHAnsi"/>
        </w:rPr>
        <w:t xml:space="preserve"> inn</w:t>
      </w:r>
      <w:r>
        <w:rPr>
          <w:rFonts w:asciiTheme="majorHAnsi" w:hAnsiTheme="majorHAnsi" w:cstheme="majorHAnsi"/>
        </w:rPr>
        <w:t>e</w:t>
      </w:r>
      <w:r w:rsidRPr="00AB7912">
        <w:rPr>
          <w:rFonts w:asciiTheme="majorHAnsi" w:hAnsiTheme="majorHAnsi" w:cstheme="majorHAnsi"/>
        </w:rPr>
        <w:t xml:space="preserve"> podmiot</w:t>
      </w:r>
      <w:r>
        <w:rPr>
          <w:rFonts w:asciiTheme="majorHAnsi" w:hAnsiTheme="majorHAnsi" w:cstheme="majorHAnsi"/>
        </w:rPr>
        <w:t>y</w:t>
      </w:r>
      <w:r w:rsidRPr="00AB7912">
        <w:rPr>
          <w:rFonts w:asciiTheme="majorHAnsi" w:hAnsiTheme="majorHAnsi" w:cstheme="majorHAnsi"/>
        </w:rPr>
        <w:t>, w tym upoważnion</w:t>
      </w:r>
      <w:r>
        <w:rPr>
          <w:rFonts w:asciiTheme="majorHAnsi" w:hAnsiTheme="majorHAnsi" w:cstheme="majorHAnsi"/>
        </w:rPr>
        <w:t>e</w:t>
      </w:r>
      <w:r w:rsidRPr="00AB7912">
        <w:rPr>
          <w:rFonts w:asciiTheme="majorHAnsi" w:hAnsiTheme="majorHAnsi" w:cstheme="majorHAnsi"/>
        </w:rPr>
        <w:t xml:space="preserve"> organ</w:t>
      </w:r>
      <w:r>
        <w:rPr>
          <w:rFonts w:asciiTheme="majorHAnsi" w:hAnsiTheme="majorHAnsi" w:cstheme="majorHAnsi"/>
        </w:rPr>
        <w:t>y</w:t>
      </w:r>
      <w:r w:rsidRPr="00AB7912">
        <w:rPr>
          <w:rFonts w:asciiTheme="majorHAnsi" w:hAnsiTheme="majorHAnsi" w:cstheme="majorHAnsi"/>
        </w:rPr>
        <w:t xml:space="preserve"> państwo</w:t>
      </w:r>
      <w:r>
        <w:rPr>
          <w:rFonts w:asciiTheme="majorHAnsi" w:hAnsiTheme="majorHAnsi" w:cstheme="majorHAnsi"/>
        </w:rPr>
        <w:t>we</w:t>
      </w:r>
    </w:p>
    <w:p w14:paraId="4B6C58ED" w14:textId="35282F9F" w:rsidR="00EF7604" w:rsidRPr="00C90E52" w:rsidRDefault="00EF7604" w:rsidP="00C90E52">
      <w:pPr>
        <w:pStyle w:val="Akapitzlist"/>
        <w:numPr>
          <w:ilvl w:val="0"/>
          <w:numId w:val="4"/>
        </w:numPr>
        <w:spacing w:after="0" w:line="312" w:lineRule="exact"/>
        <w:jc w:val="both"/>
        <w:rPr>
          <w:rFonts w:asciiTheme="majorHAnsi" w:hAnsiTheme="majorHAnsi" w:cstheme="majorHAnsi"/>
        </w:rPr>
      </w:pPr>
      <w:r w:rsidRPr="00EF7604">
        <w:rPr>
          <w:rFonts w:asciiTheme="majorHAnsi" w:hAnsiTheme="majorHAnsi" w:cstheme="majorHAnsi"/>
        </w:rPr>
        <w:t>P</w:t>
      </w:r>
      <w:r w:rsidR="00DA6425" w:rsidRPr="00EF7604">
        <w:rPr>
          <w:rFonts w:asciiTheme="majorHAnsi" w:hAnsiTheme="majorHAnsi" w:cstheme="majorHAnsi"/>
        </w:rPr>
        <w:t>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r>
        <w:rPr>
          <w:rFonts w:asciiTheme="majorHAnsi" w:hAnsiTheme="majorHAnsi" w:cstheme="majorHAnsi"/>
        </w:rPr>
        <w:t>.</w:t>
      </w:r>
      <w:r w:rsidR="00C90E52">
        <w:rPr>
          <w:rFonts w:asciiTheme="majorHAnsi" w:hAnsiTheme="majorHAnsi" w:cstheme="majorHAnsi"/>
        </w:rPr>
        <w:t xml:space="preserve"> </w:t>
      </w:r>
      <w:r w:rsidR="00C90E52" w:rsidRPr="00C90E52">
        <w:rPr>
          <w:rFonts w:asciiTheme="majorHAnsi" w:hAnsiTheme="majorHAnsi" w:cstheme="majorHAnsi"/>
        </w:rPr>
        <w:t>Prawa te są ograniczone w zakresie</w:t>
      </w:r>
      <w:r w:rsidR="00C90E52">
        <w:rPr>
          <w:rFonts w:asciiTheme="majorHAnsi" w:hAnsiTheme="majorHAnsi" w:cstheme="majorHAnsi"/>
        </w:rPr>
        <w:t xml:space="preserve"> </w:t>
      </w:r>
      <w:r w:rsidR="00C90E52" w:rsidRPr="00C90E52">
        <w:rPr>
          <w:rFonts w:asciiTheme="majorHAnsi" w:hAnsiTheme="majorHAnsi" w:cstheme="majorHAnsi"/>
        </w:rPr>
        <w:t>określonym w przepisach prawa, w tym art. 15-22 RODO, w szczególności w zakresie, w jakim ich realizacja</w:t>
      </w:r>
      <w:r w:rsidR="00C90E52">
        <w:rPr>
          <w:rFonts w:asciiTheme="majorHAnsi" w:hAnsiTheme="majorHAnsi" w:cstheme="majorHAnsi"/>
        </w:rPr>
        <w:t xml:space="preserve"> </w:t>
      </w:r>
      <w:r w:rsidR="00C90E52" w:rsidRPr="00C90E52">
        <w:rPr>
          <w:rFonts w:asciiTheme="majorHAnsi" w:hAnsiTheme="majorHAnsi" w:cstheme="majorHAnsi"/>
        </w:rPr>
        <w:t>naruszyłaby prawa innych osób lub gdy przetwarzanie następuje w celu wywiązania się przez administratora z</w:t>
      </w:r>
      <w:r w:rsidR="00C90E52">
        <w:rPr>
          <w:rFonts w:asciiTheme="majorHAnsi" w:hAnsiTheme="majorHAnsi" w:cstheme="majorHAnsi"/>
        </w:rPr>
        <w:t xml:space="preserve"> </w:t>
      </w:r>
      <w:r w:rsidR="00C90E52" w:rsidRPr="00C90E52">
        <w:rPr>
          <w:rFonts w:asciiTheme="majorHAnsi" w:hAnsiTheme="majorHAnsi" w:cstheme="majorHAnsi"/>
        </w:rPr>
        <w:t>obowiązku wynikającego z przepisu prawa lub w ramach sprawowania władzy publiczne</w:t>
      </w:r>
      <w:r w:rsidR="00C90E52">
        <w:rPr>
          <w:rFonts w:asciiTheme="majorHAnsi" w:hAnsiTheme="majorHAnsi" w:cstheme="majorHAnsi"/>
        </w:rPr>
        <w:t>j;</w:t>
      </w:r>
    </w:p>
    <w:p w14:paraId="149F5700" w14:textId="3AC9B36F" w:rsidR="007465DA" w:rsidRPr="007465DA" w:rsidRDefault="00EF7604" w:rsidP="007465DA">
      <w:pPr>
        <w:pStyle w:val="Akapitzlist"/>
        <w:numPr>
          <w:ilvl w:val="0"/>
          <w:numId w:val="4"/>
        </w:numPr>
        <w:rPr>
          <w:rFonts w:asciiTheme="majorHAnsi" w:hAnsiTheme="majorHAnsi" w:cstheme="majorHAnsi"/>
        </w:rPr>
      </w:pPr>
      <w:r w:rsidRPr="007465DA">
        <w:rPr>
          <w:rFonts w:asciiTheme="majorHAnsi" w:hAnsiTheme="majorHAnsi" w:cstheme="majorHAnsi"/>
        </w:rPr>
        <w:t>M</w:t>
      </w:r>
      <w:r w:rsidR="00DA6425" w:rsidRPr="007465DA">
        <w:rPr>
          <w:rFonts w:asciiTheme="majorHAnsi" w:hAnsiTheme="majorHAnsi" w:cstheme="majorHAnsi"/>
        </w:rPr>
        <w:t>a Pani/Pan prawo wniesienia skargi do</w:t>
      </w:r>
      <w:r w:rsidR="007465DA" w:rsidRPr="007465DA">
        <w:rPr>
          <w:rFonts w:asciiTheme="majorHAnsi" w:hAnsiTheme="majorHAnsi" w:cstheme="majorHAnsi"/>
        </w:rPr>
        <w:t xml:space="preserve"> Prezesa UODO (na adres Urzędu Ochrony Danych Osobowych, ul. Stawki 2, 00 - 193 Warszawa).</w:t>
      </w:r>
    </w:p>
    <w:p w14:paraId="2773941C" w14:textId="18785A4C" w:rsidR="00F27569" w:rsidRPr="009F4BC0" w:rsidRDefault="00EF7604" w:rsidP="005A7722">
      <w:pPr>
        <w:pStyle w:val="Akapitzlist"/>
        <w:numPr>
          <w:ilvl w:val="0"/>
          <w:numId w:val="4"/>
        </w:numPr>
        <w:spacing w:after="0" w:line="312" w:lineRule="exact"/>
        <w:jc w:val="both"/>
        <w:rPr>
          <w:rFonts w:asciiTheme="majorHAnsi" w:hAnsiTheme="majorHAnsi" w:cstheme="majorHAnsi"/>
        </w:rPr>
      </w:pPr>
      <w:r w:rsidRPr="007465DA">
        <w:rPr>
          <w:rFonts w:asciiTheme="majorHAnsi" w:hAnsiTheme="majorHAnsi" w:cstheme="majorHAnsi"/>
        </w:rPr>
        <w:lastRenderedPageBreak/>
        <w:t>P</w:t>
      </w:r>
      <w:r w:rsidR="00DA6425" w:rsidRPr="007465DA">
        <w:rPr>
          <w:rFonts w:asciiTheme="majorHAnsi" w:hAnsiTheme="majorHAnsi" w:cstheme="majorHAnsi"/>
        </w:rPr>
        <w:t>odanie danych osobowych jest obligatoryjne w oparciu o przepisy prawa a w pozostałym zakresie jest dobrowolne</w:t>
      </w:r>
      <w:r w:rsidRPr="007465DA">
        <w:rPr>
          <w:rFonts w:asciiTheme="majorHAnsi" w:hAnsiTheme="majorHAnsi" w:cstheme="majorHAnsi"/>
        </w:rPr>
        <w:t>.</w:t>
      </w:r>
    </w:p>
    <w:sectPr w:rsidR="00F27569" w:rsidRPr="009F4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BF8"/>
    <w:multiLevelType w:val="hybridMultilevel"/>
    <w:tmpl w:val="60A61E8E"/>
    <w:lvl w:ilvl="0" w:tplc="B79EDAE4">
      <w:start w:val="1"/>
      <w:numFmt w:val="decimal"/>
      <w:lvlText w:val="%1."/>
      <w:lvlJc w:val="left"/>
      <w:pPr>
        <w:ind w:left="1070" w:hanging="71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476BD2"/>
    <w:multiLevelType w:val="hybridMultilevel"/>
    <w:tmpl w:val="5C6AB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6A2437"/>
    <w:multiLevelType w:val="hybridMultilevel"/>
    <w:tmpl w:val="92B01832"/>
    <w:lvl w:ilvl="0" w:tplc="8C8AECA2">
      <w:start w:val="1"/>
      <w:numFmt w:val="decimal"/>
      <w:lvlText w:val="%1."/>
      <w:lvlJc w:val="left"/>
      <w:pPr>
        <w:ind w:left="720" w:hanging="360"/>
      </w:pPr>
      <w:rPr>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0711325"/>
    <w:multiLevelType w:val="hybridMultilevel"/>
    <w:tmpl w:val="F612DB38"/>
    <w:lvl w:ilvl="0" w:tplc="B79EDAE4">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5178407">
    <w:abstractNumId w:val="3"/>
  </w:num>
  <w:num w:numId="2" w16cid:durableId="1093283201">
    <w:abstractNumId w:val="0"/>
  </w:num>
  <w:num w:numId="3" w16cid:durableId="907690951">
    <w:abstractNumId w:val="1"/>
  </w:num>
  <w:num w:numId="4" w16cid:durableId="212237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569"/>
    <w:rsid w:val="00006469"/>
    <w:rsid w:val="0023328A"/>
    <w:rsid w:val="004E466A"/>
    <w:rsid w:val="005A7722"/>
    <w:rsid w:val="00686D6D"/>
    <w:rsid w:val="007465DA"/>
    <w:rsid w:val="008C4368"/>
    <w:rsid w:val="009425B3"/>
    <w:rsid w:val="009E18EF"/>
    <w:rsid w:val="009E23E7"/>
    <w:rsid w:val="009F4BC0"/>
    <w:rsid w:val="00AB7912"/>
    <w:rsid w:val="00B05E7F"/>
    <w:rsid w:val="00C32910"/>
    <w:rsid w:val="00C90E52"/>
    <w:rsid w:val="00DA6425"/>
    <w:rsid w:val="00DC6216"/>
    <w:rsid w:val="00EF7604"/>
    <w:rsid w:val="00F145D7"/>
    <w:rsid w:val="00F27569"/>
    <w:rsid w:val="00F41A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C00A9"/>
  <w15:chartTrackingRefBased/>
  <w15:docId w15:val="{F4B51D42-1C79-4CA8-9513-E6C89891F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7569"/>
    <w:pPr>
      <w:ind w:left="720"/>
      <w:contextualSpacing/>
    </w:pPr>
  </w:style>
  <w:style w:type="table" w:styleId="Tabela-Siatka">
    <w:name w:val="Table Grid"/>
    <w:basedOn w:val="Standardowy"/>
    <w:uiPriority w:val="39"/>
    <w:rsid w:val="00686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483</Words>
  <Characters>2898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Deputat</dc:creator>
  <cp:keywords/>
  <dc:description/>
  <cp:lastModifiedBy>ORAA</cp:lastModifiedBy>
  <cp:revision>8</cp:revision>
  <cp:lastPrinted>2022-11-28T07:43:00Z</cp:lastPrinted>
  <dcterms:created xsi:type="dcterms:W3CDTF">2022-11-28T09:54:00Z</dcterms:created>
  <dcterms:modified xsi:type="dcterms:W3CDTF">2023-01-20T10:50:00Z</dcterms:modified>
</cp:coreProperties>
</file>